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1D" w:rsidRDefault="00EC071D">
      <w:pPr>
        <w:pStyle w:val="Vet"/>
      </w:pPr>
      <w:r>
        <w:t>OPLEGNOTITIE</w:t>
      </w:r>
    </w:p>
    <w:p w:rsidR="00EC071D" w:rsidRDefault="00EC071D"/>
    <w:p w:rsidR="00EC071D" w:rsidRDefault="00EC071D">
      <w:r>
        <w:t xml:space="preserve">Onderwerp: </w:t>
      </w:r>
      <w:bookmarkStart w:id="0" w:name="bwOplegOnderwerp"/>
      <w:bookmarkStart w:id="1" w:name="_GoBack"/>
      <w:bookmarkEnd w:id="0"/>
      <w:r w:rsidR="00D412E8">
        <w:t>V</w:t>
      </w:r>
      <w:r>
        <w:t xml:space="preserve">aststelling bestemmingsplan </w:t>
      </w:r>
      <w:r w:rsidR="003A1079">
        <w:t>‘</w:t>
      </w:r>
      <w:r w:rsidR="00A0004A">
        <w:t>Hoofddorp Floriande Noord</w:t>
      </w:r>
      <w:r>
        <w:t>'</w:t>
      </w:r>
      <w:bookmarkEnd w:id="1"/>
    </w:p>
    <w:p w:rsidR="00EC071D" w:rsidRDefault="00EC0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07"/>
      </w:tblGrid>
      <w:tr w:rsidR="00EC071D">
        <w:tc>
          <w:tcPr>
            <w:tcW w:w="2905" w:type="dxa"/>
            <w:shd w:val="pct5" w:color="auto" w:fill="auto"/>
          </w:tcPr>
          <w:p w:rsidR="00EC071D" w:rsidRDefault="00EC071D">
            <w:r>
              <w:t>Nummer</w:t>
            </w:r>
          </w:p>
        </w:tc>
        <w:tc>
          <w:tcPr>
            <w:tcW w:w="6307" w:type="dxa"/>
          </w:tcPr>
          <w:p w:rsidR="00EC071D" w:rsidRPr="00D412E8" w:rsidRDefault="00D412E8">
            <w:r w:rsidRPr="00D412E8">
              <w:t>2013.0006387</w:t>
            </w:r>
          </w:p>
        </w:tc>
      </w:tr>
      <w:tr w:rsidR="00EC071D">
        <w:tc>
          <w:tcPr>
            <w:tcW w:w="2905" w:type="dxa"/>
            <w:shd w:val="pct5" w:color="auto" w:fill="auto"/>
          </w:tcPr>
          <w:p w:rsidR="00EC071D" w:rsidRDefault="00EC071D">
            <w:r>
              <w:t>Versie</w:t>
            </w:r>
          </w:p>
        </w:tc>
        <w:tc>
          <w:tcPr>
            <w:tcW w:w="6307" w:type="dxa"/>
          </w:tcPr>
          <w:p w:rsidR="00EC071D" w:rsidRDefault="00EC071D">
            <w:r>
              <w:t>1</w:t>
            </w:r>
          </w:p>
        </w:tc>
      </w:tr>
      <w:tr w:rsidR="00EC071D">
        <w:tc>
          <w:tcPr>
            <w:tcW w:w="2905" w:type="dxa"/>
            <w:shd w:val="pct5" w:color="auto" w:fill="auto"/>
          </w:tcPr>
          <w:p w:rsidR="00EC071D" w:rsidRDefault="00EC071D">
            <w:r>
              <w:t>Thema</w:t>
            </w:r>
          </w:p>
        </w:tc>
        <w:tc>
          <w:tcPr>
            <w:tcW w:w="6307" w:type="dxa"/>
          </w:tcPr>
          <w:p w:rsidR="00EC071D" w:rsidRDefault="00EC071D">
            <w:bookmarkStart w:id="2" w:name="bwOplegThema"/>
            <w:bookmarkEnd w:id="2"/>
            <w:r>
              <w:t>Ruimtelijke ordening, Grootschalig Groen, Recreatie en Water</w:t>
            </w:r>
          </w:p>
        </w:tc>
      </w:tr>
      <w:tr w:rsidR="00EC071D">
        <w:tc>
          <w:tcPr>
            <w:tcW w:w="2905" w:type="dxa"/>
            <w:shd w:val="pct5" w:color="auto" w:fill="auto"/>
          </w:tcPr>
          <w:p w:rsidR="00EC071D" w:rsidRDefault="00EC071D">
            <w:r>
              <w:t>Indiener</w:t>
            </w:r>
          </w:p>
        </w:tc>
        <w:tc>
          <w:tcPr>
            <w:tcW w:w="6307" w:type="dxa"/>
          </w:tcPr>
          <w:p w:rsidR="00EC071D" w:rsidRDefault="00EC071D">
            <w:bookmarkStart w:id="3" w:name="bwOplegPH"/>
            <w:bookmarkEnd w:id="3"/>
            <w:r>
              <w:t>drs. M.J. Bezuijen</w:t>
            </w:r>
          </w:p>
        </w:tc>
      </w:tr>
      <w:tr w:rsidR="00EC071D">
        <w:tc>
          <w:tcPr>
            <w:tcW w:w="2905" w:type="dxa"/>
            <w:shd w:val="pct5" w:color="auto" w:fill="auto"/>
          </w:tcPr>
          <w:p w:rsidR="00EC071D" w:rsidRDefault="00EC071D">
            <w:r>
              <w:t>Steller</w:t>
            </w:r>
          </w:p>
        </w:tc>
        <w:tc>
          <w:tcPr>
            <w:tcW w:w="6307" w:type="dxa"/>
          </w:tcPr>
          <w:p w:rsidR="00EC071D" w:rsidRDefault="00EC071D">
            <w:bookmarkStart w:id="4" w:name="bwOplegSteller"/>
            <w:bookmarkEnd w:id="4"/>
            <w:r>
              <w:t>C.M.M. Blankestijn - van Haeringen</w:t>
            </w:r>
          </w:p>
        </w:tc>
      </w:tr>
      <w:tr w:rsidR="00EC071D">
        <w:tc>
          <w:tcPr>
            <w:tcW w:w="2905" w:type="dxa"/>
            <w:shd w:val="pct5" w:color="auto" w:fill="auto"/>
          </w:tcPr>
          <w:p w:rsidR="00EC071D" w:rsidRDefault="00EC071D">
            <w:r>
              <w:t>Verzoek portefeuillehouder</w:t>
            </w:r>
          </w:p>
        </w:tc>
        <w:tc>
          <w:tcPr>
            <w:tcW w:w="6307" w:type="dxa"/>
          </w:tcPr>
          <w:p w:rsidR="00EC071D" w:rsidRDefault="00EC071D">
            <w:bookmarkStart w:id="5" w:name="bwOplegVerzoek"/>
            <w:bookmarkEnd w:id="5"/>
            <w:r>
              <w:t>De raad voor te stellen dit raadsvoorstel ter besluitvorming te agenderen</w:t>
            </w:r>
          </w:p>
        </w:tc>
      </w:tr>
      <w:tr w:rsidR="00EC071D">
        <w:tc>
          <w:tcPr>
            <w:tcW w:w="2905" w:type="dxa"/>
            <w:shd w:val="pct5" w:color="auto" w:fill="auto"/>
          </w:tcPr>
          <w:p w:rsidR="00EC071D" w:rsidRDefault="00EC071D">
            <w:r>
              <w:t>Beslispunten voor de raad</w:t>
            </w:r>
          </w:p>
        </w:tc>
        <w:tc>
          <w:tcPr>
            <w:tcW w:w="6307" w:type="dxa"/>
          </w:tcPr>
          <w:p w:rsidR="00A0004A" w:rsidRDefault="00A0004A" w:rsidP="00D412E8">
            <w:pPr>
              <w:pStyle w:val="Lijstalinea"/>
              <w:numPr>
                <w:ilvl w:val="0"/>
                <w:numId w:val="18"/>
              </w:numPr>
              <w:spacing w:line="280" w:lineRule="exact"/>
              <w:ind w:left="356" w:hanging="356"/>
            </w:pPr>
            <w:bookmarkStart w:id="6" w:name="bwOplegSamenvatting"/>
            <w:bookmarkEnd w:id="6"/>
            <w:r>
              <w:t xml:space="preserve">de verbeelding </w:t>
            </w:r>
            <w:r w:rsidRPr="00946381">
              <w:t>ambtshalve</w:t>
            </w:r>
            <w:r>
              <w:t xml:space="preserve"> te wijzigen door het opnemen van een strook met de bestemming ‘Hoogspanning II’ op gronden gelegen ten westen van de Drie</w:t>
            </w:r>
            <w:r w:rsidR="00D412E8">
              <w:t xml:space="preserve"> </w:t>
            </w:r>
            <w:r>
              <w:t>Merenweg;</w:t>
            </w:r>
            <w:r w:rsidRPr="00946381">
              <w:t xml:space="preserve"> </w:t>
            </w:r>
          </w:p>
          <w:p w:rsidR="00A0004A" w:rsidRDefault="00A0004A" w:rsidP="00D412E8">
            <w:pPr>
              <w:pStyle w:val="Lijstalinea"/>
              <w:numPr>
                <w:ilvl w:val="0"/>
                <w:numId w:val="18"/>
              </w:numPr>
              <w:spacing w:line="280" w:lineRule="exact"/>
              <w:ind w:left="356" w:hanging="356"/>
            </w:pPr>
            <w:r>
              <w:t>de regels ambtshalve te wijzigen door het toevoegen van een nieuw artikel 14 ‘Leiding - Hoogspanning II’, luidend als volgt:</w:t>
            </w:r>
          </w:p>
          <w:p w:rsidR="00D412E8" w:rsidRDefault="00D412E8" w:rsidP="00D412E8">
            <w:pPr>
              <w:pStyle w:val="Lijstalinea"/>
              <w:spacing w:line="280" w:lineRule="exact"/>
              <w:ind w:left="356"/>
            </w:pPr>
          </w:p>
          <w:p w:rsidR="00A0004A" w:rsidRPr="0014768D" w:rsidRDefault="00A0004A" w:rsidP="00A0004A">
            <w:pPr>
              <w:pStyle w:val="Lijstalinea"/>
              <w:spacing w:line="280" w:lineRule="exact"/>
              <w:ind w:left="709"/>
              <w:rPr>
                <w:i/>
              </w:rPr>
            </w:pPr>
            <w:r>
              <w:t>“</w:t>
            </w:r>
            <w:r w:rsidRPr="0014768D">
              <w:rPr>
                <w:i/>
              </w:rPr>
              <w:t xml:space="preserve">14.1 Bestemmingsomschrijving </w:t>
            </w:r>
          </w:p>
          <w:p w:rsidR="00A0004A" w:rsidRDefault="00A0004A" w:rsidP="00A0004A">
            <w:pPr>
              <w:pStyle w:val="Lijstalinea"/>
            </w:pPr>
          </w:p>
          <w:p w:rsidR="00A0004A" w:rsidRDefault="00A0004A" w:rsidP="00A0004A">
            <w:pPr>
              <w:pStyle w:val="Lijstalinea"/>
            </w:pPr>
            <w:r>
              <w:t>De voor 'Leiding - Hoogspanning II' aangewezen gronden zijn, behalve voor de andere daar voorkomende bestemming(en), mede bestemd voor:</w:t>
            </w:r>
          </w:p>
          <w:p w:rsidR="00A0004A" w:rsidRDefault="00A0004A" w:rsidP="00D412E8">
            <w:pPr>
              <w:pStyle w:val="Lijstalinea"/>
              <w:ind w:left="923" w:hanging="203"/>
            </w:pPr>
            <w:r>
              <w:t>a.</w:t>
            </w:r>
            <w:r>
              <w:tab/>
              <w:t>een ondergrondse 150 kV hoogspanningsverbinding;</w:t>
            </w:r>
          </w:p>
          <w:p w:rsidR="00A0004A" w:rsidRDefault="00A0004A" w:rsidP="00A0004A">
            <w:pPr>
              <w:pStyle w:val="Lijstalinea"/>
            </w:pPr>
            <w:r>
              <w:t>met de daarbij behorende:</w:t>
            </w:r>
          </w:p>
          <w:p w:rsidR="00A0004A" w:rsidRDefault="00A0004A" w:rsidP="00D412E8">
            <w:pPr>
              <w:pStyle w:val="Lijstalinea"/>
              <w:ind w:left="923" w:hanging="203"/>
            </w:pPr>
            <w:r>
              <w:t>b.</w:t>
            </w:r>
            <w:r>
              <w:tab/>
              <w:t>toegangswegen;</w:t>
            </w:r>
          </w:p>
          <w:p w:rsidR="00A0004A" w:rsidRDefault="00A0004A" w:rsidP="00D412E8">
            <w:pPr>
              <w:pStyle w:val="Lijstalinea"/>
              <w:ind w:left="923" w:hanging="203"/>
            </w:pPr>
            <w:r>
              <w:t>c.</w:t>
            </w:r>
            <w:r>
              <w:tab/>
              <w:t>bouwwerken, geen gebouwen zijnde.</w:t>
            </w:r>
          </w:p>
          <w:p w:rsidR="00A0004A" w:rsidRDefault="00A0004A" w:rsidP="00A0004A">
            <w:pPr>
              <w:pStyle w:val="Lijstalinea"/>
            </w:pPr>
          </w:p>
          <w:p w:rsidR="00A0004A" w:rsidRPr="0014768D" w:rsidRDefault="00A0004A" w:rsidP="00A0004A">
            <w:pPr>
              <w:pStyle w:val="Lijstalinea"/>
              <w:rPr>
                <w:i/>
              </w:rPr>
            </w:pPr>
            <w:r w:rsidRPr="0014768D">
              <w:rPr>
                <w:i/>
              </w:rPr>
              <w:t xml:space="preserve">14.2. Bouwregels </w:t>
            </w:r>
          </w:p>
          <w:p w:rsidR="00A0004A" w:rsidRDefault="00A0004A" w:rsidP="00A0004A">
            <w:pPr>
              <w:pStyle w:val="Lijstalinea"/>
            </w:pPr>
          </w:p>
          <w:p w:rsidR="00A0004A" w:rsidRDefault="00A0004A" w:rsidP="00A0004A">
            <w:pPr>
              <w:pStyle w:val="Lijstalinea"/>
            </w:pPr>
            <w:r>
              <w:t>14.2.1. Voor het bouwen van bouwwerken gelden de volgende regels:</w:t>
            </w:r>
          </w:p>
          <w:p w:rsidR="00A0004A" w:rsidRDefault="00A0004A" w:rsidP="00A0004A">
            <w:pPr>
              <w:pStyle w:val="Lijstalinea"/>
            </w:pPr>
            <w:r>
              <w:t>de bouwhoogte van bouwwerken, geen gebouwen en geen overkappingen zijnde, mag ten hoogste 2 meter bedragen.</w:t>
            </w:r>
          </w:p>
          <w:p w:rsidR="00A0004A" w:rsidRDefault="00A0004A" w:rsidP="00A0004A">
            <w:pPr>
              <w:pStyle w:val="Lijstalinea"/>
            </w:pPr>
          </w:p>
          <w:p w:rsidR="00A0004A" w:rsidRDefault="00A0004A" w:rsidP="00A0004A">
            <w:pPr>
              <w:pStyle w:val="Lijstalinea"/>
            </w:pPr>
            <w:r>
              <w:t>14.2.2. Op of in deze gronden mag uitsluitend ten behoeve van de andere daar voorkomende bestemming(en) - met inachtneming van de voor de betrokken bestemming(en) geldende (bouw)regels - worden gebouwd, indien het bouwplan betrekking heeft op vervanging, vernieuwing of verandering van bestaande bouwwerken, waarbij de oppervlakte en de bouwhoogte niet worden vergroot en gebruik wordt gemaakt van de bestaande fundering.</w:t>
            </w:r>
          </w:p>
          <w:p w:rsidR="00A0004A" w:rsidRDefault="00A0004A" w:rsidP="00A0004A">
            <w:pPr>
              <w:pStyle w:val="Lijstalinea"/>
            </w:pPr>
          </w:p>
          <w:p w:rsidR="00D412E8" w:rsidRDefault="00D412E8" w:rsidP="00A0004A">
            <w:pPr>
              <w:pStyle w:val="Lijstalinea"/>
              <w:rPr>
                <w:i/>
              </w:rPr>
            </w:pPr>
          </w:p>
          <w:p w:rsidR="00303FDF" w:rsidRDefault="00303FDF" w:rsidP="00A0004A">
            <w:pPr>
              <w:pStyle w:val="Lijstalinea"/>
              <w:rPr>
                <w:i/>
              </w:rPr>
            </w:pPr>
          </w:p>
          <w:p w:rsidR="00303FDF" w:rsidRDefault="00303FDF" w:rsidP="00A0004A">
            <w:pPr>
              <w:pStyle w:val="Lijstalinea"/>
              <w:rPr>
                <w:i/>
              </w:rPr>
            </w:pPr>
          </w:p>
          <w:p w:rsidR="00D412E8" w:rsidRDefault="00D412E8" w:rsidP="00A0004A">
            <w:pPr>
              <w:pStyle w:val="Lijstalinea"/>
              <w:rPr>
                <w:i/>
              </w:rPr>
            </w:pPr>
          </w:p>
          <w:p w:rsidR="00D412E8" w:rsidRDefault="00D412E8" w:rsidP="00A0004A">
            <w:pPr>
              <w:pStyle w:val="Lijstalinea"/>
              <w:rPr>
                <w:i/>
              </w:rPr>
            </w:pPr>
          </w:p>
          <w:p w:rsidR="00D412E8" w:rsidRDefault="00D412E8" w:rsidP="00A0004A">
            <w:pPr>
              <w:pStyle w:val="Lijstalinea"/>
              <w:rPr>
                <w:i/>
              </w:rPr>
            </w:pPr>
          </w:p>
          <w:p w:rsidR="00A0004A" w:rsidRPr="0014768D" w:rsidRDefault="00A0004A" w:rsidP="00A0004A">
            <w:pPr>
              <w:pStyle w:val="Lijstalinea"/>
              <w:rPr>
                <w:i/>
              </w:rPr>
            </w:pPr>
            <w:r w:rsidRPr="0014768D">
              <w:rPr>
                <w:i/>
              </w:rPr>
              <w:lastRenderedPageBreak/>
              <w:t xml:space="preserve">14.3. Afwijken van de bouwregels </w:t>
            </w:r>
          </w:p>
          <w:p w:rsidR="00A0004A" w:rsidRDefault="00A0004A" w:rsidP="00A0004A">
            <w:pPr>
              <w:pStyle w:val="Lijstalinea"/>
            </w:pPr>
          </w:p>
          <w:p w:rsidR="00A0004A" w:rsidRDefault="00A0004A" w:rsidP="00A0004A">
            <w:pPr>
              <w:pStyle w:val="Lijstalinea"/>
            </w:pPr>
            <w:r>
              <w:t>Met een omgevingsvergunning kan worden afgeweken van het bepaalde in lid 14.2.2, indien de belangen en de veiligheid van de betrokken hoogspanningsverbinding niet worden geschaad en nadat de leidingbeheerder gedurende drie weken in de gelegenheid is gesteld schriftelijk advies uit te brengen.</w:t>
            </w:r>
          </w:p>
          <w:p w:rsidR="00A0004A" w:rsidRDefault="00A0004A" w:rsidP="00A0004A">
            <w:pPr>
              <w:pStyle w:val="Lijstalinea"/>
            </w:pPr>
          </w:p>
          <w:p w:rsidR="00A0004A" w:rsidRPr="0014768D" w:rsidRDefault="00A0004A" w:rsidP="00A0004A">
            <w:pPr>
              <w:pStyle w:val="Lijstalinea"/>
              <w:rPr>
                <w:i/>
              </w:rPr>
            </w:pPr>
            <w:r w:rsidRPr="0014768D">
              <w:rPr>
                <w:i/>
              </w:rPr>
              <w:t xml:space="preserve">14.4. Omgevingsvergunning voor het uitvoeren van een werk, geen bouwwerk zijnde, of van werkzaamheden </w:t>
            </w:r>
          </w:p>
          <w:p w:rsidR="00A0004A" w:rsidRDefault="00A0004A" w:rsidP="00A0004A">
            <w:pPr>
              <w:pStyle w:val="Lijstalinea"/>
            </w:pPr>
          </w:p>
          <w:p w:rsidR="00A0004A" w:rsidRDefault="00A0004A" w:rsidP="00A0004A">
            <w:pPr>
              <w:pStyle w:val="Lijstalinea"/>
            </w:pPr>
            <w:r>
              <w:t>14.4.1. Voor de volgende werken, geen bouwwerken zijnde, of werkzaamheden is een omgevingsvergunning vereist:</w:t>
            </w:r>
          </w:p>
          <w:p w:rsidR="00A0004A" w:rsidRDefault="00A0004A" w:rsidP="00D412E8">
            <w:pPr>
              <w:pStyle w:val="Lijstalinea"/>
              <w:ind w:left="923" w:hanging="203"/>
            </w:pPr>
            <w:r>
              <w:t>a.</w:t>
            </w:r>
            <w:r>
              <w:tab/>
              <w:t>het aanbrengen van beplantingen en bomen;</w:t>
            </w:r>
          </w:p>
          <w:p w:rsidR="00A0004A" w:rsidRDefault="00A0004A" w:rsidP="00D412E8">
            <w:pPr>
              <w:pStyle w:val="Lijstalinea"/>
              <w:ind w:left="923" w:hanging="203"/>
            </w:pPr>
            <w:r>
              <w:t>b.</w:t>
            </w:r>
            <w:r>
              <w:tab/>
              <w:t>het aanleggen van wegen of paden en het aanbrengen van andere oppervlakteverhardingen;</w:t>
            </w:r>
          </w:p>
          <w:p w:rsidR="00A0004A" w:rsidRDefault="00A0004A" w:rsidP="00D412E8">
            <w:pPr>
              <w:pStyle w:val="Lijstalinea"/>
              <w:ind w:left="923" w:hanging="203"/>
            </w:pPr>
            <w:r>
              <w:t>c.</w:t>
            </w:r>
            <w:r>
              <w:tab/>
              <w:t>het indrijven van voorwerpen in de bodem;</w:t>
            </w:r>
          </w:p>
          <w:p w:rsidR="00A0004A" w:rsidRDefault="00A0004A" w:rsidP="00D412E8">
            <w:pPr>
              <w:pStyle w:val="Lijstalinea"/>
              <w:ind w:left="923" w:hanging="203"/>
            </w:pPr>
            <w:r>
              <w:t>d.</w:t>
            </w:r>
            <w:r>
              <w:tab/>
              <w:t>het uitvoeren van grondbewerkingen, waartoe worden gerekend afgraven, woelen, mengen, diepploegen, egaliseren, ontginnen, ophogen en aanleggen van drainage;</w:t>
            </w:r>
          </w:p>
          <w:p w:rsidR="00A0004A" w:rsidRDefault="00A0004A" w:rsidP="00D412E8">
            <w:pPr>
              <w:pStyle w:val="Lijstalinea"/>
              <w:ind w:left="923" w:hanging="203"/>
            </w:pPr>
            <w:r>
              <w:t>e.</w:t>
            </w:r>
            <w:r>
              <w:tab/>
              <w:t>het aanleggen, vergraven, verruimen of dempen van sloten, vijvers en andere wateren;</w:t>
            </w:r>
          </w:p>
          <w:p w:rsidR="00A0004A" w:rsidRDefault="00A0004A" w:rsidP="00D412E8">
            <w:pPr>
              <w:pStyle w:val="Lijstalinea"/>
              <w:ind w:left="923" w:hanging="203"/>
            </w:pPr>
            <w:r>
              <w:t>f.</w:t>
            </w:r>
            <w:r>
              <w:tab/>
              <w:t>het permanent opslaan van goederen.</w:t>
            </w:r>
          </w:p>
          <w:p w:rsidR="00A0004A" w:rsidRDefault="00A0004A" w:rsidP="00A0004A">
            <w:pPr>
              <w:pStyle w:val="Lijstalinea"/>
            </w:pPr>
          </w:p>
          <w:p w:rsidR="00A0004A" w:rsidRDefault="00A0004A" w:rsidP="00A0004A">
            <w:pPr>
              <w:pStyle w:val="Lijstalinea"/>
            </w:pPr>
            <w:r>
              <w:t>14.4.2. Het bepaalde in lid 14.4.1. is niet van toepassing op werken en/of werkzaamheden:</w:t>
            </w:r>
          </w:p>
          <w:p w:rsidR="00A0004A" w:rsidRDefault="00A0004A" w:rsidP="00D412E8">
            <w:pPr>
              <w:pStyle w:val="Lijstalinea"/>
              <w:ind w:left="945" w:hanging="224"/>
            </w:pPr>
            <w:r>
              <w:t>a.</w:t>
            </w:r>
            <w:r>
              <w:tab/>
              <w:t>die verband houden met de aanleg van de hoogspanningsverbinding;</w:t>
            </w:r>
          </w:p>
          <w:p w:rsidR="00A0004A" w:rsidRDefault="00A0004A" w:rsidP="00D412E8">
            <w:pPr>
              <w:pStyle w:val="Lijstalinea"/>
              <w:ind w:left="945" w:hanging="224"/>
            </w:pPr>
            <w:r>
              <w:t>b.</w:t>
            </w:r>
            <w:r>
              <w:tab/>
              <w:t>die reeds in uitvoering zijn op het moment van het van kracht worden van het plan;</w:t>
            </w:r>
          </w:p>
          <w:p w:rsidR="00A0004A" w:rsidRDefault="00A0004A" w:rsidP="00D412E8">
            <w:pPr>
              <w:pStyle w:val="Lijstalinea"/>
              <w:ind w:left="945" w:hanging="224"/>
            </w:pPr>
            <w:r>
              <w:t>c.</w:t>
            </w:r>
            <w:r>
              <w:tab/>
              <w:t>die het normale onderhoud ten aanzien van de verbinding en belemmeringenstrook of ten aanzien van de functies van de andere voorkomende bestemming(en) betreffen.</w:t>
            </w:r>
          </w:p>
          <w:p w:rsidR="00A0004A" w:rsidRDefault="00A0004A" w:rsidP="00A0004A">
            <w:pPr>
              <w:pStyle w:val="Lijstalinea"/>
            </w:pPr>
          </w:p>
          <w:p w:rsidR="00A0004A" w:rsidRDefault="00A0004A" w:rsidP="00A0004A">
            <w:pPr>
              <w:pStyle w:val="Lijstalinea"/>
            </w:pPr>
            <w:r>
              <w:t>14.4.3. De omgevingsvergunning kan worden verleend indien de betreffende werken en/of werkzaamheden niet strijdig zijn met de belangen en de veiligheid van de verbinding. Bij die afweging wordt de diepte waarop de kabel ligt mede betrokken.</w:t>
            </w:r>
          </w:p>
          <w:p w:rsidR="00A0004A" w:rsidRDefault="00A0004A" w:rsidP="00A0004A">
            <w:pPr>
              <w:pStyle w:val="Lijstalinea"/>
            </w:pPr>
          </w:p>
          <w:p w:rsidR="00A0004A" w:rsidRDefault="00A0004A" w:rsidP="00A0004A">
            <w:pPr>
              <w:pStyle w:val="Lijstalinea"/>
            </w:pPr>
            <w:r>
              <w:t>14.4.4. De in lid 14.4.1. genoemde vergunning kan niet eerder worden verleend dan nadat de leidingbeheerder gedurende drie weken in de gelegenheid is gesteld schriftelijk advies uit te brengen dan wel zoveel eerder als het advies is uitgebracht.”;</w:t>
            </w:r>
          </w:p>
          <w:p w:rsidR="00A0004A" w:rsidRDefault="00A0004A" w:rsidP="00A0004A">
            <w:pPr>
              <w:pStyle w:val="Lijstalinea"/>
            </w:pPr>
            <w:r>
              <w:t>en voor het overige de nummering van de opvolgende artikelen aan te passen;</w:t>
            </w:r>
          </w:p>
          <w:p w:rsidR="00A0004A" w:rsidRPr="007D49DA" w:rsidRDefault="00A0004A" w:rsidP="00D412E8">
            <w:pPr>
              <w:pStyle w:val="Lijstalinea"/>
              <w:numPr>
                <w:ilvl w:val="0"/>
                <w:numId w:val="18"/>
              </w:numPr>
              <w:spacing w:line="280" w:lineRule="exact"/>
              <w:ind w:left="426" w:hanging="426"/>
            </w:pPr>
            <w:r w:rsidRPr="000F7686">
              <w:lastRenderedPageBreak/>
              <w:t xml:space="preserve">geen exploitatieplan vast te stellen voor het bestemmingsplan, omdat </w:t>
            </w:r>
            <w:r w:rsidRPr="00F8626A">
              <w:rPr>
                <w:rFonts w:cs="Arial"/>
              </w:rPr>
              <w:t>dit bestemmingsplan geen aangewezen bouwplannen mogelijk</w:t>
            </w:r>
            <w:r>
              <w:rPr>
                <w:rFonts w:cs="Arial"/>
              </w:rPr>
              <w:t xml:space="preserve"> maakt;</w:t>
            </w:r>
          </w:p>
          <w:p w:rsidR="00A0004A" w:rsidRDefault="00A0004A" w:rsidP="00D412E8">
            <w:pPr>
              <w:pStyle w:val="Lijstalinea"/>
              <w:numPr>
                <w:ilvl w:val="0"/>
                <w:numId w:val="18"/>
              </w:numPr>
              <w:spacing w:line="280" w:lineRule="exact"/>
              <w:ind w:left="426" w:hanging="426"/>
            </w:pPr>
            <w:r>
              <w:t xml:space="preserve">het bestemmingsplan </w:t>
            </w:r>
            <w:r w:rsidRPr="007D49DA">
              <w:rPr>
                <w:rFonts w:cs="Arial"/>
              </w:rPr>
              <w:t xml:space="preserve">‘Hoofddorp Floriande Noord’ </w:t>
            </w:r>
            <w:r>
              <w:t>m</w:t>
            </w:r>
            <w:r w:rsidRPr="007D49DA">
              <w:rPr>
                <w:shd w:val="clear" w:color="auto" w:fill="FFFFFF"/>
              </w:rPr>
              <w:t>et planidentificatie  NL.IMRO.0394.</w:t>
            </w:r>
            <w:r w:rsidRPr="005563AB">
              <w:t xml:space="preserve"> </w:t>
            </w:r>
            <w:r w:rsidRPr="007D49DA">
              <w:rPr>
                <w:shd w:val="clear" w:color="auto" w:fill="FFFFFF"/>
              </w:rPr>
              <w:t xml:space="preserve">BPGhfdfloriandenrd-C001 </w:t>
            </w:r>
            <w:r>
              <w:t xml:space="preserve">bestaande uit een verbeelding en bijbehorende regels, </w:t>
            </w:r>
            <w:r w:rsidRPr="00946381">
              <w:t>inclusief de wijzigingen aan het ter visie gelegde ontwerpbestemmingsplan</w:t>
            </w:r>
            <w:r>
              <w:t>, conform de artikelen 1.2.1 tot en met 1.2.5 Bro in elektronische vorm vast te leggen en in die vorm vast te stellen, één en ander overeenkomstig de bij dit besluit gevoegde bescheiden en op grond van de overwegingen genoemd in het voorstel van Burgemeester en Wethouders;</w:t>
            </w:r>
          </w:p>
          <w:p w:rsidR="00A0004A" w:rsidRDefault="00A0004A" w:rsidP="00A0004A">
            <w:pPr>
              <w:pStyle w:val="Lijstalinea"/>
              <w:numPr>
                <w:ilvl w:val="0"/>
                <w:numId w:val="18"/>
              </w:numPr>
              <w:spacing w:line="280" w:lineRule="exact"/>
              <w:ind w:left="426" w:hanging="426"/>
            </w:pPr>
            <w:r>
              <w:t>het college van Burgemeester en Wethouders te machtigen het verder nodige te verrichten.</w:t>
            </w:r>
          </w:p>
          <w:p w:rsidR="00EC071D" w:rsidRDefault="00EC071D"/>
        </w:tc>
      </w:tr>
      <w:tr w:rsidR="00EC071D">
        <w:tc>
          <w:tcPr>
            <w:tcW w:w="2905" w:type="dxa"/>
            <w:shd w:val="pct5" w:color="auto" w:fill="auto"/>
          </w:tcPr>
          <w:p w:rsidR="00EC071D" w:rsidRDefault="00EC071D">
            <w:r>
              <w:lastRenderedPageBreak/>
              <w:t>Overwegingen m.b.t. proces (deadline)</w:t>
            </w:r>
          </w:p>
        </w:tc>
        <w:tc>
          <w:tcPr>
            <w:tcW w:w="6307" w:type="dxa"/>
          </w:tcPr>
          <w:p w:rsidR="00EE767E" w:rsidRDefault="00EE767E" w:rsidP="00D412E8">
            <w:r>
              <w:t xml:space="preserve">Omdat geen zienswijzen zijn ingediend, </w:t>
            </w:r>
            <w:r w:rsidR="00D412E8">
              <w:t>wordt de griffie verzocht</w:t>
            </w:r>
            <w:r w:rsidR="00247347">
              <w:t xml:space="preserve"> het bestemmingsplan direct op de stemming</w:t>
            </w:r>
            <w:r w:rsidR="00D412E8">
              <w:t>en</w:t>
            </w:r>
            <w:r w:rsidR="00247347">
              <w:t>lijst zetten</w:t>
            </w:r>
            <w:r>
              <w:t>.</w:t>
            </w:r>
          </w:p>
        </w:tc>
      </w:tr>
    </w:tbl>
    <w:p w:rsidR="00EC071D" w:rsidRDefault="00EC071D"/>
    <w:p w:rsidR="00EC071D" w:rsidRDefault="00EC0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EC071D">
        <w:tc>
          <w:tcPr>
            <w:tcW w:w="9212" w:type="dxa"/>
          </w:tcPr>
          <w:p w:rsidR="00EC071D" w:rsidRPr="00DE5056" w:rsidRDefault="00EC071D">
            <w:pPr>
              <w:rPr>
                <w:sz w:val="16"/>
                <w:szCs w:val="16"/>
              </w:rPr>
            </w:pPr>
            <w:r>
              <w:t xml:space="preserve">Historie: </w:t>
            </w:r>
            <w:r w:rsidRPr="00DE5056">
              <w:rPr>
                <w:vanish/>
                <w:sz w:val="16"/>
                <w:szCs w:val="16"/>
              </w:rPr>
              <w:t>(</w:t>
            </w:r>
            <w:r w:rsidR="00790AF3">
              <w:rPr>
                <w:vanish/>
                <w:sz w:val="16"/>
                <w:szCs w:val="16"/>
              </w:rPr>
              <w:fldChar w:fldCharType="begin"/>
            </w:r>
            <w:r>
              <w:rPr>
                <w:vanish/>
                <w:sz w:val="16"/>
                <w:szCs w:val="16"/>
              </w:rPr>
              <w:instrText xml:space="preserve"> MACROBUTTON  ToonHistorie Dubbelklik hier voor een toelichting </w:instrText>
            </w:r>
            <w:r w:rsidR="00790AF3">
              <w:rPr>
                <w:vanish/>
                <w:sz w:val="16"/>
                <w:szCs w:val="16"/>
              </w:rPr>
              <w:fldChar w:fldCharType="end"/>
            </w:r>
            <w:r w:rsidRPr="00DE5056">
              <w:rPr>
                <w:vanish/>
                <w:sz w:val="16"/>
                <w:szCs w:val="16"/>
              </w:rPr>
              <w:t>)</w:t>
            </w:r>
          </w:p>
          <w:p w:rsidR="00EC071D" w:rsidRDefault="00A0004A">
            <w:r>
              <w:t xml:space="preserve">Voorontwerpbestemmingsplan vastgesteld </w:t>
            </w:r>
            <w:proofErr w:type="spellStart"/>
            <w:r>
              <w:t>b&amp;w</w:t>
            </w:r>
            <w:proofErr w:type="spellEnd"/>
            <w:r>
              <w:t xml:space="preserve"> d.d. 10 juli 2012, nr. 2012.0035928</w:t>
            </w:r>
          </w:p>
          <w:p w:rsidR="00A0004A" w:rsidRDefault="00A0004A">
            <w:r>
              <w:t xml:space="preserve">Ontwerpbestemmingsplan vastgesteld </w:t>
            </w:r>
            <w:proofErr w:type="spellStart"/>
            <w:r>
              <w:t>b&amp;w</w:t>
            </w:r>
            <w:proofErr w:type="spellEnd"/>
            <w:r>
              <w:t xml:space="preserve"> d.d. </w:t>
            </w:r>
            <w:r w:rsidR="00A02F0B">
              <w:t>6 november 2012, nr. 2012.0064709</w:t>
            </w:r>
          </w:p>
          <w:p w:rsidR="00EC071D" w:rsidRDefault="00EC071D"/>
        </w:tc>
      </w:tr>
    </w:tbl>
    <w:p w:rsidR="00EC071D" w:rsidRDefault="00EC071D">
      <w:pPr>
        <w:pStyle w:val="Vet"/>
      </w:pPr>
    </w:p>
    <w:p w:rsidR="00EC071D" w:rsidRDefault="00EC071D">
      <w:pPr>
        <w:pStyle w:val="Vet"/>
      </w:pPr>
    </w:p>
    <w:p w:rsidR="00EC071D" w:rsidRDefault="00EC071D">
      <w:pPr>
        <w:pStyle w:val="Vet"/>
        <w:rPr>
          <w:b w:val="0"/>
          <w:i/>
          <w:vanish/>
          <w:color w:val="FF0000"/>
        </w:rPr>
      </w:pPr>
      <w:r>
        <w:t xml:space="preserve">Planning proces </w:t>
      </w:r>
      <w:r>
        <w:rPr>
          <w:b w:val="0"/>
          <w:bCs/>
          <w:i/>
          <w:iCs/>
          <w:color w:val="FF6600"/>
        </w:rPr>
        <w:t>(In te vullen door de Griffie)</w:t>
      </w:r>
    </w:p>
    <w:p w:rsidR="00EC071D" w:rsidRDefault="00EC0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370"/>
        <w:gridCol w:w="2809"/>
        <w:gridCol w:w="3428"/>
      </w:tblGrid>
      <w:tr w:rsidR="00EC071D">
        <w:trPr>
          <w:cantSplit/>
        </w:trPr>
        <w:tc>
          <w:tcPr>
            <w:tcW w:w="9142" w:type="dxa"/>
            <w:gridSpan w:val="4"/>
            <w:shd w:val="pct5" w:color="auto" w:fill="auto"/>
          </w:tcPr>
          <w:p w:rsidR="00EC071D" w:rsidRDefault="00EC071D">
            <w:r>
              <w:t>Thema:</w:t>
            </w:r>
          </w:p>
        </w:tc>
      </w:tr>
      <w:tr w:rsidR="00EC071D">
        <w:tc>
          <w:tcPr>
            <w:tcW w:w="1535" w:type="dxa"/>
            <w:tcBorders>
              <w:bottom w:val="single" w:sz="4" w:space="0" w:color="auto"/>
            </w:tcBorders>
            <w:shd w:val="pct5" w:color="auto" w:fill="auto"/>
          </w:tcPr>
          <w:p w:rsidR="00EC071D" w:rsidRDefault="00EC071D">
            <w:r>
              <w:t>Stap</w:t>
            </w:r>
          </w:p>
        </w:tc>
        <w:tc>
          <w:tcPr>
            <w:tcW w:w="1370" w:type="dxa"/>
            <w:tcBorders>
              <w:bottom w:val="single" w:sz="4" w:space="0" w:color="auto"/>
            </w:tcBorders>
            <w:shd w:val="pct5" w:color="auto" w:fill="auto"/>
          </w:tcPr>
          <w:p w:rsidR="00EC071D" w:rsidRDefault="00EC071D">
            <w:r>
              <w:t>Datum</w:t>
            </w:r>
          </w:p>
        </w:tc>
        <w:tc>
          <w:tcPr>
            <w:tcW w:w="2809" w:type="dxa"/>
            <w:tcBorders>
              <w:bottom w:val="single" w:sz="4" w:space="0" w:color="auto"/>
            </w:tcBorders>
            <w:shd w:val="pct5" w:color="auto" w:fill="auto"/>
          </w:tcPr>
          <w:p w:rsidR="00EC071D" w:rsidRDefault="00EC071D">
            <w:r>
              <w:t>Doel</w:t>
            </w:r>
          </w:p>
        </w:tc>
        <w:tc>
          <w:tcPr>
            <w:tcW w:w="3428" w:type="dxa"/>
            <w:tcBorders>
              <w:bottom w:val="single" w:sz="4" w:space="0" w:color="auto"/>
            </w:tcBorders>
            <w:shd w:val="pct5" w:color="auto" w:fill="auto"/>
          </w:tcPr>
          <w:p w:rsidR="00EC071D" w:rsidRDefault="00EC071D">
            <w:r>
              <w:t>Gewenste rol college</w:t>
            </w:r>
          </w:p>
        </w:tc>
      </w:tr>
      <w:tr w:rsidR="00EC071D">
        <w:tc>
          <w:tcPr>
            <w:tcW w:w="1535" w:type="dxa"/>
            <w:tcBorders>
              <w:bottom w:val="nil"/>
              <w:right w:val="single" w:sz="4" w:space="0" w:color="auto"/>
            </w:tcBorders>
          </w:tcPr>
          <w:p w:rsidR="00EC071D" w:rsidRDefault="00303FDF">
            <w:r>
              <w:t>Sessie</w:t>
            </w:r>
          </w:p>
        </w:tc>
        <w:tc>
          <w:tcPr>
            <w:tcW w:w="1370" w:type="dxa"/>
            <w:tcBorders>
              <w:left w:val="single" w:sz="4" w:space="0" w:color="auto"/>
              <w:bottom w:val="nil"/>
              <w:right w:val="single" w:sz="4" w:space="0" w:color="auto"/>
            </w:tcBorders>
          </w:tcPr>
          <w:p w:rsidR="00EC071D" w:rsidRDefault="00303FDF">
            <w:r>
              <w:t>14-3-2013</w:t>
            </w:r>
          </w:p>
        </w:tc>
        <w:tc>
          <w:tcPr>
            <w:tcW w:w="2809" w:type="dxa"/>
            <w:tcBorders>
              <w:left w:val="single" w:sz="4" w:space="0" w:color="auto"/>
              <w:bottom w:val="nil"/>
              <w:right w:val="single" w:sz="4" w:space="0" w:color="auto"/>
            </w:tcBorders>
          </w:tcPr>
          <w:p w:rsidR="00EC071D" w:rsidRDefault="00303FDF">
            <w:r>
              <w:t>Voorbereiden stemming</w:t>
            </w:r>
          </w:p>
        </w:tc>
        <w:tc>
          <w:tcPr>
            <w:tcW w:w="3428" w:type="dxa"/>
            <w:tcBorders>
              <w:left w:val="single" w:sz="4" w:space="0" w:color="auto"/>
              <w:bottom w:val="nil"/>
            </w:tcBorders>
          </w:tcPr>
          <w:p w:rsidR="00EC071D" w:rsidRDefault="00303FDF">
            <w:r>
              <w:t>Verdedigen van het voorstel</w:t>
            </w:r>
          </w:p>
        </w:tc>
      </w:tr>
      <w:tr w:rsidR="00EC071D">
        <w:tc>
          <w:tcPr>
            <w:tcW w:w="1535" w:type="dxa"/>
            <w:tcBorders>
              <w:top w:val="nil"/>
              <w:bottom w:val="nil"/>
              <w:right w:val="single" w:sz="4" w:space="0" w:color="auto"/>
            </w:tcBorders>
          </w:tcPr>
          <w:p w:rsidR="00EC071D" w:rsidRDefault="00303FDF">
            <w:r>
              <w:t>Stemming</w:t>
            </w:r>
          </w:p>
        </w:tc>
        <w:tc>
          <w:tcPr>
            <w:tcW w:w="1370" w:type="dxa"/>
            <w:tcBorders>
              <w:top w:val="nil"/>
              <w:left w:val="single" w:sz="4" w:space="0" w:color="auto"/>
              <w:bottom w:val="nil"/>
              <w:right w:val="single" w:sz="4" w:space="0" w:color="auto"/>
            </w:tcBorders>
          </w:tcPr>
          <w:p w:rsidR="00EC071D" w:rsidRDefault="00303FDF">
            <w:r>
              <w:t>28-3-2013</w:t>
            </w:r>
          </w:p>
        </w:tc>
        <w:tc>
          <w:tcPr>
            <w:tcW w:w="2809" w:type="dxa"/>
            <w:tcBorders>
              <w:top w:val="nil"/>
              <w:left w:val="single" w:sz="4" w:space="0" w:color="auto"/>
              <w:bottom w:val="nil"/>
              <w:right w:val="single" w:sz="4" w:space="0" w:color="auto"/>
            </w:tcBorders>
          </w:tcPr>
          <w:p w:rsidR="00EC071D" w:rsidRDefault="00EC071D"/>
        </w:tc>
        <w:tc>
          <w:tcPr>
            <w:tcW w:w="3428" w:type="dxa"/>
            <w:tcBorders>
              <w:top w:val="nil"/>
              <w:left w:val="single" w:sz="4" w:space="0" w:color="auto"/>
              <w:bottom w:val="nil"/>
            </w:tcBorders>
          </w:tcPr>
          <w:p w:rsidR="00EC071D" w:rsidRDefault="00EC071D"/>
        </w:tc>
      </w:tr>
      <w:tr w:rsidR="00EC071D">
        <w:tc>
          <w:tcPr>
            <w:tcW w:w="1535" w:type="dxa"/>
            <w:tcBorders>
              <w:top w:val="nil"/>
            </w:tcBorders>
          </w:tcPr>
          <w:p w:rsidR="00EC071D" w:rsidRDefault="00EC071D"/>
        </w:tc>
        <w:tc>
          <w:tcPr>
            <w:tcW w:w="1370" w:type="dxa"/>
            <w:tcBorders>
              <w:top w:val="nil"/>
            </w:tcBorders>
          </w:tcPr>
          <w:p w:rsidR="00EC071D" w:rsidRDefault="00EC071D"/>
        </w:tc>
        <w:tc>
          <w:tcPr>
            <w:tcW w:w="2809" w:type="dxa"/>
            <w:tcBorders>
              <w:top w:val="nil"/>
            </w:tcBorders>
          </w:tcPr>
          <w:p w:rsidR="00EC071D" w:rsidRDefault="00EC071D"/>
        </w:tc>
        <w:tc>
          <w:tcPr>
            <w:tcW w:w="3428" w:type="dxa"/>
            <w:tcBorders>
              <w:top w:val="nil"/>
            </w:tcBorders>
          </w:tcPr>
          <w:p w:rsidR="00EC071D" w:rsidRDefault="00EC071D"/>
        </w:tc>
      </w:tr>
    </w:tbl>
    <w:p w:rsidR="00EC071D" w:rsidRDefault="00EC071D"/>
    <w:p w:rsidR="00EC071D" w:rsidRDefault="00EC071D"/>
    <w:p w:rsidR="00EC071D" w:rsidRDefault="00EC071D"/>
    <w:sectPr w:rsidR="00EC071D" w:rsidSect="00EC071D">
      <w:headerReference w:type="default" r:id="rId8"/>
      <w:footerReference w:type="default" r:id="rId9"/>
      <w:pgSz w:w="11906" w:h="16838" w:code="9"/>
      <w:pgMar w:top="1417" w:right="1134" w:bottom="1417" w:left="1417" w:header="822" w:footer="709" w:gutter="0"/>
      <w:cols w:space="284"/>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25" w:rsidRDefault="000E7825">
      <w:r>
        <w:separator/>
      </w:r>
    </w:p>
  </w:endnote>
  <w:endnote w:type="continuationSeparator" w:id="0">
    <w:p w:rsidR="000E7825" w:rsidRDefault="000E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4A" w:rsidRDefault="00A0004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25" w:rsidRDefault="000E7825">
      <w:r>
        <w:separator/>
      </w:r>
    </w:p>
  </w:footnote>
  <w:footnote w:type="continuationSeparator" w:id="0">
    <w:p w:rsidR="000E7825" w:rsidRDefault="000E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4A" w:rsidRDefault="00A0004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5E"/>
    <w:multiLevelType w:val="hybridMultilevel"/>
    <w:tmpl w:val="28C45548"/>
    <w:lvl w:ilvl="0" w:tplc="58E249A8">
      <w:start w:val="1"/>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nsid w:val="122D0431"/>
    <w:multiLevelType w:val="hybridMultilevel"/>
    <w:tmpl w:val="AFA039CA"/>
    <w:lvl w:ilvl="0" w:tplc="54D03940">
      <w:start w:val="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3">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AF82017"/>
    <w:multiLevelType w:val="hybridMultilevel"/>
    <w:tmpl w:val="B0B82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CFD25EB"/>
    <w:multiLevelType w:val="hybridMultilevel"/>
    <w:tmpl w:val="6178CAFA"/>
    <w:lvl w:ilvl="0" w:tplc="DC2073D0">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FD5215D"/>
    <w:multiLevelType w:val="hybridMultilevel"/>
    <w:tmpl w:val="C6BCA1AE"/>
    <w:lvl w:ilvl="0" w:tplc="93C098B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45883F5C"/>
    <w:multiLevelType w:val="hybridMultilevel"/>
    <w:tmpl w:val="B0B82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0"/>
  </w:num>
  <w:num w:numId="3">
    <w:abstractNumId w:val="10"/>
  </w:num>
  <w:num w:numId="4">
    <w:abstractNumId w:val="10"/>
  </w:num>
  <w:num w:numId="5">
    <w:abstractNumId w:val="9"/>
  </w:num>
  <w:num w:numId="6">
    <w:abstractNumId w:val="8"/>
  </w:num>
  <w:num w:numId="7">
    <w:abstractNumId w:val="8"/>
  </w:num>
  <w:num w:numId="8">
    <w:abstractNumId w:val="8"/>
  </w:num>
  <w:num w:numId="9">
    <w:abstractNumId w:val="10"/>
  </w:num>
  <w:num w:numId="10">
    <w:abstractNumId w:val="10"/>
  </w:num>
  <w:num w:numId="11">
    <w:abstractNumId w:val="10"/>
  </w:num>
  <w:num w:numId="12">
    <w:abstractNumId w:val="3"/>
  </w:num>
  <w:num w:numId="13">
    <w:abstractNumId w:val="6"/>
  </w:num>
  <w:num w:numId="14">
    <w:abstractNumId w:val="1"/>
  </w:num>
  <w:num w:numId="15">
    <w:abstractNumId w:val="5"/>
  </w:num>
  <w:num w:numId="16">
    <w:abstractNumId w:val="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C0"/>
    <w:rsid w:val="00024328"/>
    <w:rsid w:val="000B0718"/>
    <w:rsid w:val="000E7825"/>
    <w:rsid w:val="000F3783"/>
    <w:rsid w:val="0014768D"/>
    <w:rsid w:val="00161665"/>
    <w:rsid w:val="00247347"/>
    <w:rsid w:val="002B508F"/>
    <w:rsid w:val="00303FDF"/>
    <w:rsid w:val="003301A1"/>
    <w:rsid w:val="0033681B"/>
    <w:rsid w:val="003A1079"/>
    <w:rsid w:val="00493BFB"/>
    <w:rsid w:val="004F2994"/>
    <w:rsid w:val="005563AB"/>
    <w:rsid w:val="005A4E26"/>
    <w:rsid w:val="00790AF3"/>
    <w:rsid w:val="007D49DA"/>
    <w:rsid w:val="007D70F5"/>
    <w:rsid w:val="007F7258"/>
    <w:rsid w:val="0093669D"/>
    <w:rsid w:val="0097087D"/>
    <w:rsid w:val="00993CCB"/>
    <w:rsid w:val="00A0004A"/>
    <w:rsid w:val="00A02F0B"/>
    <w:rsid w:val="00A25476"/>
    <w:rsid w:val="00B12D0F"/>
    <w:rsid w:val="00BD6A51"/>
    <w:rsid w:val="00C4691E"/>
    <w:rsid w:val="00D412E8"/>
    <w:rsid w:val="00D6279D"/>
    <w:rsid w:val="00DC26C0"/>
    <w:rsid w:val="00E64D28"/>
    <w:rsid w:val="00EA748B"/>
    <w:rsid w:val="00EB724B"/>
    <w:rsid w:val="00EC012F"/>
    <w:rsid w:val="00EC071D"/>
    <w:rsid w:val="00EE767E"/>
    <w:rsid w:val="00EF5B9B"/>
    <w:rsid w:val="00F86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0004A"/>
    <w:pPr>
      <w:spacing w:line="280" w:lineRule="atLeast"/>
    </w:pPr>
    <w:rPr>
      <w:rFonts w:ascii="Arial" w:hAnsi="Arial"/>
    </w:rPr>
  </w:style>
  <w:style w:type="paragraph" w:styleId="Kop1">
    <w:name w:val="heading 1"/>
    <w:aliases w:val="Vet + inhoudsopg-niveau 1"/>
    <w:basedOn w:val="Standaard"/>
    <w:next w:val="Standaard"/>
    <w:qFormat/>
    <w:rsid w:val="00EB724B"/>
    <w:pPr>
      <w:keepNext/>
      <w:numPr>
        <w:numId w:val="9"/>
      </w:numPr>
      <w:spacing w:before="120"/>
      <w:outlineLvl w:val="0"/>
    </w:pPr>
    <w:rPr>
      <w:b/>
    </w:rPr>
  </w:style>
  <w:style w:type="paragraph" w:styleId="Kop2">
    <w:name w:val="heading 2"/>
    <w:aliases w:val="Vet + inhoudsopg-niveau 2"/>
    <w:basedOn w:val="Standaard"/>
    <w:next w:val="Standaard"/>
    <w:qFormat/>
    <w:rsid w:val="00EB724B"/>
    <w:pPr>
      <w:keepNext/>
      <w:numPr>
        <w:ilvl w:val="1"/>
        <w:numId w:val="9"/>
      </w:numPr>
      <w:spacing w:before="120"/>
      <w:outlineLvl w:val="1"/>
    </w:pPr>
    <w:rPr>
      <w:b/>
    </w:rPr>
  </w:style>
  <w:style w:type="paragraph" w:styleId="Kop3">
    <w:name w:val="heading 3"/>
    <w:aliases w:val="Vet + inhoudsopg-niveau 3"/>
    <w:basedOn w:val="Standaard"/>
    <w:next w:val="Standaard"/>
    <w:qFormat/>
    <w:rsid w:val="00EB724B"/>
    <w:pPr>
      <w:keepNext/>
      <w:numPr>
        <w:ilvl w:val="2"/>
        <w:numId w:val="9"/>
      </w:numPr>
      <w:spacing w:before="120"/>
      <w:outlineLvl w:val="2"/>
    </w:pPr>
    <w:rPr>
      <w:b/>
    </w:rPr>
  </w:style>
  <w:style w:type="paragraph" w:styleId="Kop4">
    <w:name w:val="heading 4"/>
    <w:basedOn w:val="Standaard"/>
    <w:next w:val="Standaard"/>
    <w:qFormat/>
    <w:rsid w:val="00EB724B"/>
    <w:pPr>
      <w:keepNext/>
      <w:spacing w:before="240" w:after="60"/>
      <w:outlineLvl w:val="3"/>
    </w:pPr>
    <w:rPr>
      <w:b/>
      <w:sz w:val="24"/>
    </w:rPr>
  </w:style>
  <w:style w:type="paragraph" w:styleId="Kop5">
    <w:name w:val="heading 5"/>
    <w:basedOn w:val="Standaard"/>
    <w:next w:val="Standaard"/>
    <w:qFormat/>
    <w:rsid w:val="00EB724B"/>
    <w:pPr>
      <w:spacing w:before="240" w:after="60"/>
      <w:outlineLvl w:val="4"/>
    </w:pPr>
    <w:rPr>
      <w:sz w:val="22"/>
    </w:rPr>
  </w:style>
  <w:style w:type="paragraph" w:styleId="Kop6">
    <w:name w:val="heading 6"/>
    <w:basedOn w:val="Standaard"/>
    <w:next w:val="Standaard"/>
    <w:qFormat/>
    <w:rsid w:val="00EB724B"/>
    <w:pPr>
      <w:spacing w:before="240" w:after="60"/>
      <w:outlineLvl w:val="5"/>
    </w:pPr>
    <w:rPr>
      <w:rFonts w:ascii="Times New Roman" w:hAnsi="Times New Roman"/>
      <w:i/>
      <w:sz w:val="22"/>
    </w:rPr>
  </w:style>
  <w:style w:type="paragraph" w:styleId="Kop7">
    <w:name w:val="heading 7"/>
    <w:basedOn w:val="Standaard"/>
    <w:next w:val="Standaard"/>
    <w:qFormat/>
    <w:rsid w:val="00EB724B"/>
    <w:pPr>
      <w:spacing w:before="240" w:after="60"/>
      <w:outlineLvl w:val="6"/>
    </w:pPr>
  </w:style>
  <w:style w:type="paragraph" w:styleId="Kop8">
    <w:name w:val="heading 8"/>
    <w:basedOn w:val="Standaard"/>
    <w:next w:val="Standaard"/>
    <w:qFormat/>
    <w:rsid w:val="00EB724B"/>
    <w:pPr>
      <w:spacing w:before="240" w:after="60"/>
      <w:outlineLvl w:val="7"/>
    </w:pPr>
    <w:rPr>
      <w:i/>
    </w:rPr>
  </w:style>
  <w:style w:type="paragraph" w:styleId="Kop9">
    <w:name w:val="heading 9"/>
    <w:basedOn w:val="Standaard"/>
    <w:next w:val="Standaard"/>
    <w:qFormat/>
    <w:rsid w:val="00EB724B"/>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B724B"/>
    <w:pPr>
      <w:tabs>
        <w:tab w:val="center" w:pos="4536"/>
        <w:tab w:val="right" w:pos="9072"/>
      </w:tabs>
    </w:pPr>
  </w:style>
  <w:style w:type="paragraph" w:styleId="Voettekst">
    <w:name w:val="footer"/>
    <w:basedOn w:val="Standaard"/>
    <w:rsid w:val="00EB724B"/>
    <w:pPr>
      <w:tabs>
        <w:tab w:val="center" w:pos="4536"/>
        <w:tab w:val="right" w:pos="9072"/>
      </w:tabs>
    </w:pPr>
  </w:style>
  <w:style w:type="paragraph" w:customStyle="1" w:styleId="Dienstkop">
    <w:name w:val="Dienstkop"/>
    <w:basedOn w:val="Standaard"/>
    <w:next w:val="Standaard"/>
    <w:rsid w:val="00EB724B"/>
    <w:rPr>
      <w:b/>
      <w:sz w:val="18"/>
    </w:rPr>
  </w:style>
  <w:style w:type="paragraph" w:customStyle="1" w:styleId="1einspring">
    <w:name w:val="1e inspring"/>
    <w:basedOn w:val="Standaard"/>
    <w:rsid w:val="00EB724B"/>
    <w:pPr>
      <w:tabs>
        <w:tab w:val="left" w:pos="425"/>
      </w:tabs>
      <w:ind w:left="425" w:hanging="425"/>
    </w:pPr>
  </w:style>
  <w:style w:type="paragraph" w:customStyle="1" w:styleId="2einspring">
    <w:name w:val="2e inspring"/>
    <w:basedOn w:val="Standaard"/>
    <w:next w:val="Standaard"/>
    <w:rsid w:val="00EB724B"/>
    <w:pPr>
      <w:ind w:left="737" w:hanging="312"/>
    </w:pPr>
  </w:style>
  <w:style w:type="paragraph" w:customStyle="1" w:styleId="Vet">
    <w:name w:val="Vet"/>
    <w:basedOn w:val="Standaard"/>
    <w:rsid w:val="00EB724B"/>
    <w:rPr>
      <w:b/>
    </w:rPr>
  </w:style>
  <w:style w:type="paragraph" w:customStyle="1" w:styleId="Cursief">
    <w:name w:val="Cursief"/>
    <w:basedOn w:val="Standaard"/>
    <w:next w:val="Standaard"/>
    <w:rsid w:val="00EB724B"/>
    <w:rPr>
      <w:i/>
    </w:rPr>
  </w:style>
  <w:style w:type="paragraph" w:styleId="Inhopg1">
    <w:name w:val="toc 1"/>
    <w:basedOn w:val="Standaard"/>
    <w:next w:val="Standaard"/>
    <w:autoRedefine/>
    <w:semiHidden/>
    <w:rsid w:val="00EB724B"/>
    <w:pPr>
      <w:spacing w:before="120" w:after="120"/>
    </w:pPr>
    <w:rPr>
      <w:b/>
      <w:smallCaps/>
    </w:rPr>
  </w:style>
  <w:style w:type="paragraph" w:styleId="Inhopg2">
    <w:name w:val="toc 2"/>
    <w:basedOn w:val="Standaard"/>
    <w:next w:val="Standaard"/>
    <w:autoRedefine/>
    <w:semiHidden/>
    <w:rsid w:val="00EB724B"/>
    <w:pPr>
      <w:ind w:left="221"/>
    </w:pPr>
    <w:rPr>
      <w:smallCaps/>
      <w:noProof/>
    </w:rPr>
  </w:style>
  <w:style w:type="paragraph" w:styleId="Inhopg3">
    <w:name w:val="toc 3"/>
    <w:basedOn w:val="Standaard"/>
    <w:next w:val="Standaard"/>
    <w:autoRedefine/>
    <w:semiHidden/>
    <w:rsid w:val="00EB724B"/>
    <w:pPr>
      <w:tabs>
        <w:tab w:val="left" w:pos="880"/>
        <w:tab w:val="right" w:leader="dot" w:pos="9062"/>
      </w:tabs>
      <w:ind w:left="221"/>
    </w:pPr>
    <w:rPr>
      <w:smallCaps/>
      <w:noProof/>
    </w:rPr>
  </w:style>
  <w:style w:type="paragraph" w:customStyle="1" w:styleId="Onderstrepen">
    <w:name w:val="Onderstrepen"/>
    <w:basedOn w:val="Standaard"/>
    <w:next w:val="Standaard"/>
    <w:rsid w:val="00EB724B"/>
    <w:rPr>
      <w:u w:val="single"/>
    </w:rPr>
  </w:style>
  <w:style w:type="character" w:styleId="Hyperlink">
    <w:name w:val="Hyperlink"/>
    <w:basedOn w:val="Standaardalinea-lettertype"/>
    <w:rsid w:val="00EB724B"/>
    <w:rPr>
      <w:color w:val="0000FF"/>
      <w:u w:val="single"/>
    </w:rPr>
  </w:style>
  <w:style w:type="character" w:styleId="GevolgdeHyperlink">
    <w:name w:val="FollowedHyperlink"/>
    <w:basedOn w:val="Standaardalinea-lettertype"/>
    <w:rsid w:val="00EB724B"/>
    <w:rPr>
      <w:color w:val="800080"/>
      <w:u w:val="single"/>
    </w:rPr>
  </w:style>
  <w:style w:type="paragraph" w:styleId="Lijstalinea">
    <w:name w:val="List Paragraph"/>
    <w:basedOn w:val="Standaard"/>
    <w:uiPriority w:val="34"/>
    <w:qFormat/>
    <w:rsid w:val="003A1079"/>
    <w:pPr>
      <w:ind w:left="720"/>
      <w:contextualSpacing/>
    </w:pPr>
  </w:style>
  <w:style w:type="paragraph" w:styleId="Plattetekst">
    <w:name w:val="Body Text"/>
    <w:basedOn w:val="Standaard"/>
    <w:link w:val="PlattetekstChar"/>
    <w:rsid w:val="003A1079"/>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3A1079"/>
    <w:rPr>
      <w:rFonts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0004A"/>
    <w:pPr>
      <w:spacing w:line="280" w:lineRule="atLeast"/>
    </w:pPr>
    <w:rPr>
      <w:rFonts w:ascii="Arial" w:hAnsi="Arial"/>
    </w:rPr>
  </w:style>
  <w:style w:type="paragraph" w:styleId="Kop1">
    <w:name w:val="heading 1"/>
    <w:aliases w:val="Vet + inhoudsopg-niveau 1"/>
    <w:basedOn w:val="Standaard"/>
    <w:next w:val="Standaard"/>
    <w:qFormat/>
    <w:rsid w:val="00EB724B"/>
    <w:pPr>
      <w:keepNext/>
      <w:numPr>
        <w:numId w:val="9"/>
      </w:numPr>
      <w:spacing w:before="120"/>
      <w:outlineLvl w:val="0"/>
    </w:pPr>
    <w:rPr>
      <w:b/>
    </w:rPr>
  </w:style>
  <w:style w:type="paragraph" w:styleId="Kop2">
    <w:name w:val="heading 2"/>
    <w:aliases w:val="Vet + inhoudsopg-niveau 2"/>
    <w:basedOn w:val="Standaard"/>
    <w:next w:val="Standaard"/>
    <w:qFormat/>
    <w:rsid w:val="00EB724B"/>
    <w:pPr>
      <w:keepNext/>
      <w:numPr>
        <w:ilvl w:val="1"/>
        <w:numId w:val="9"/>
      </w:numPr>
      <w:spacing w:before="120"/>
      <w:outlineLvl w:val="1"/>
    </w:pPr>
    <w:rPr>
      <w:b/>
    </w:rPr>
  </w:style>
  <w:style w:type="paragraph" w:styleId="Kop3">
    <w:name w:val="heading 3"/>
    <w:aliases w:val="Vet + inhoudsopg-niveau 3"/>
    <w:basedOn w:val="Standaard"/>
    <w:next w:val="Standaard"/>
    <w:qFormat/>
    <w:rsid w:val="00EB724B"/>
    <w:pPr>
      <w:keepNext/>
      <w:numPr>
        <w:ilvl w:val="2"/>
        <w:numId w:val="9"/>
      </w:numPr>
      <w:spacing w:before="120"/>
      <w:outlineLvl w:val="2"/>
    </w:pPr>
    <w:rPr>
      <w:b/>
    </w:rPr>
  </w:style>
  <w:style w:type="paragraph" w:styleId="Kop4">
    <w:name w:val="heading 4"/>
    <w:basedOn w:val="Standaard"/>
    <w:next w:val="Standaard"/>
    <w:qFormat/>
    <w:rsid w:val="00EB724B"/>
    <w:pPr>
      <w:keepNext/>
      <w:spacing w:before="240" w:after="60"/>
      <w:outlineLvl w:val="3"/>
    </w:pPr>
    <w:rPr>
      <w:b/>
      <w:sz w:val="24"/>
    </w:rPr>
  </w:style>
  <w:style w:type="paragraph" w:styleId="Kop5">
    <w:name w:val="heading 5"/>
    <w:basedOn w:val="Standaard"/>
    <w:next w:val="Standaard"/>
    <w:qFormat/>
    <w:rsid w:val="00EB724B"/>
    <w:pPr>
      <w:spacing w:before="240" w:after="60"/>
      <w:outlineLvl w:val="4"/>
    </w:pPr>
    <w:rPr>
      <w:sz w:val="22"/>
    </w:rPr>
  </w:style>
  <w:style w:type="paragraph" w:styleId="Kop6">
    <w:name w:val="heading 6"/>
    <w:basedOn w:val="Standaard"/>
    <w:next w:val="Standaard"/>
    <w:qFormat/>
    <w:rsid w:val="00EB724B"/>
    <w:pPr>
      <w:spacing w:before="240" w:after="60"/>
      <w:outlineLvl w:val="5"/>
    </w:pPr>
    <w:rPr>
      <w:rFonts w:ascii="Times New Roman" w:hAnsi="Times New Roman"/>
      <w:i/>
      <w:sz w:val="22"/>
    </w:rPr>
  </w:style>
  <w:style w:type="paragraph" w:styleId="Kop7">
    <w:name w:val="heading 7"/>
    <w:basedOn w:val="Standaard"/>
    <w:next w:val="Standaard"/>
    <w:qFormat/>
    <w:rsid w:val="00EB724B"/>
    <w:pPr>
      <w:spacing w:before="240" w:after="60"/>
      <w:outlineLvl w:val="6"/>
    </w:pPr>
  </w:style>
  <w:style w:type="paragraph" w:styleId="Kop8">
    <w:name w:val="heading 8"/>
    <w:basedOn w:val="Standaard"/>
    <w:next w:val="Standaard"/>
    <w:qFormat/>
    <w:rsid w:val="00EB724B"/>
    <w:pPr>
      <w:spacing w:before="240" w:after="60"/>
      <w:outlineLvl w:val="7"/>
    </w:pPr>
    <w:rPr>
      <w:i/>
    </w:rPr>
  </w:style>
  <w:style w:type="paragraph" w:styleId="Kop9">
    <w:name w:val="heading 9"/>
    <w:basedOn w:val="Standaard"/>
    <w:next w:val="Standaard"/>
    <w:qFormat/>
    <w:rsid w:val="00EB724B"/>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B724B"/>
    <w:pPr>
      <w:tabs>
        <w:tab w:val="center" w:pos="4536"/>
        <w:tab w:val="right" w:pos="9072"/>
      </w:tabs>
    </w:pPr>
  </w:style>
  <w:style w:type="paragraph" w:styleId="Voettekst">
    <w:name w:val="footer"/>
    <w:basedOn w:val="Standaard"/>
    <w:rsid w:val="00EB724B"/>
    <w:pPr>
      <w:tabs>
        <w:tab w:val="center" w:pos="4536"/>
        <w:tab w:val="right" w:pos="9072"/>
      </w:tabs>
    </w:pPr>
  </w:style>
  <w:style w:type="paragraph" w:customStyle="1" w:styleId="Dienstkop">
    <w:name w:val="Dienstkop"/>
    <w:basedOn w:val="Standaard"/>
    <w:next w:val="Standaard"/>
    <w:rsid w:val="00EB724B"/>
    <w:rPr>
      <w:b/>
      <w:sz w:val="18"/>
    </w:rPr>
  </w:style>
  <w:style w:type="paragraph" w:customStyle="1" w:styleId="1einspring">
    <w:name w:val="1e inspring"/>
    <w:basedOn w:val="Standaard"/>
    <w:rsid w:val="00EB724B"/>
    <w:pPr>
      <w:tabs>
        <w:tab w:val="left" w:pos="425"/>
      </w:tabs>
      <w:ind w:left="425" w:hanging="425"/>
    </w:pPr>
  </w:style>
  <w:style w:type="paragraph" w:customStyle="1" w:styleId="2einspring">
    <w:name w:val="2e inspring"/>
    <w:basedOn w:val="Standaard"/>
    <w:next w:val="Standaard"/>
    <w:rsid w:val="00EB724B"/>
    <w:pPr>
      <w:ind w:left="737" w:hanging="312"/>
    </w:pPr>
  </w:style>
  <w:style w:type="paragraph" w:customStyle="1" w:styleId="Vet">
    <w:name w:val="Vet"/>
    <w:basedOn w:val="Standaard"/>
    <w:rsid w:val="00EB724B"/>
    <w:rPr>
      <w:b/>
    </w:rPr>
  </w:style>
  <w:style w:type="paragraph" w:customStyle="1" w:styleId="Cursief">
    <w:name w:val="Cursief"/>
    <w:basedOn w:val="Standaard"/>
    <w:next w:val="Standaard"/>
    <w:rsid w:val="00EB724B"/>
    <w:rPr>
      <w:i/>
    </w:rPr>
  </w:style>
  <w:style w:type="paragraph" w:styleId="Inhopg1">
    <w:name w:val="toc 1"/>
    <w:basedOn w:val="Standaard"/>
    <w:next w:val="Standaard"/>
    <w:autoRedefine/>
    <w:semiHidden/>
    <w:rsid w:val="00EB724B"/>
    <w:pPr>
      <w:spacing w:before="120" w:after="120"/>
    </w:pPr>
    <w:rPr>
      <w:b/>
      <w:smallCaps/>
    </w:rPr>
  </w:style>
  <w:style w:type="paragraph" w:styleId="Inhopg2">
    <w:name w:val="toc 2"/>
    <w:basedOn w:val="Standaard"/>
    <w:next w:val="Standaard"/>
    <w:autoRedefine/>
    <w:semiHidden/>
    <w:rsid w:val="00EB724B"/>
    <w:pPr>
      <w:ind w:left="221"/>
    </w:pPr>
    <w:rPr>
      <w:smallCaps/>
      <w:noProof/>
    </w:rPr>
  </w:style>
  <w:style w:type="paragraph" w:styleId="Inhopg3">
    <w:name w:val="toc 3"/>
    <w:basedOn w:val="Standaard"/>
    <w:next w:val="Standaard"/>
    <w:autoRedefine/>
    <w:semiHidden/>
    <w:rsid w:val="00EB724B"/>
    <w:pPr>
      <w:tabs>
        <w:tab w:val="left" w:pos="880"/>
        <w:tab w:val="right" w:leader="dot" w:pos="9062"/>
      </w:tabs>
      <w:ind w:left="221"/>
    </w:pPr>
    <w:rPr>
      <w:smallCaps/>
      <w:noProof/>
    </w:rPr>
  </w:style>
  <w:style w:type="paragraph" w:customStyle="1" w:styleId="Onderstrepen">
    <w:name w:val="Onderstrepen"/>
    <w:basedOn w:val="Standaard"/>
    <w:next w:val="Standaard"/>
    <w:rsid w:val="00EB724B"/>
    <w:rPr>
      <w:u w:val="single"/>
    </w:rPr>
  </w:style>
  <w:style w:type="character" w:styleId="Hyperlink">
    <w:name w:val="Hyperlink"/>
    <w:basedOn w:val="Standaardalinea-lettertype"/>
    <w:rsid w:val="00EB724B"/>
    <w:rPr>
      <w:color w:val="0000FF"/>
      <w:u w:val="single"/>
    </w:rPr>
  </w:style>
  <w:style w:type="character" w:styleId="GevolgdeHyperlink">
    <w:name w:val="FollowedHyperlink"/>
    <w:basedOn w:val="Standaardalinea-lettertype"/>
    <w:rsid w:val="00EB724B"/>
    <w:rPr>
      <w:color w:val="800080"/>
      <w:u w:val="single"/>
    </w:rPr>
  </w:style>
  <w:style w:type="paragraph" w:styleId="Lijstalinea">
    <w:name w:val="List Paragraph"/>
    <w:basedOn w:val="Standaard"/>
    <w:uiPriority w:val="34"/>
    <w:qFormat/>
    <w:rsid w:val="003A1079"/>
    <w:pPr>
      <w:ind w:left="720"/>
      <w:contextualSpacing/>
    </w:pPr>
  </w:style>
  <w:style w:type="paragraph" w:styleId="Plattetekst">
    <w:name w:val="Body Text"/>
    <w:basedOn w:val="Standaard"/>
    <w:link w:val="PlattetekstChar"/>
    <w:rsid w:val="003A1079"/>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3A1079"/>
    <w:rPr>
      <w:rFonts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blankec</dc:creator>
  <cp:lastModifiedBy>Sombroek, Ruben</cp:lastModifiedBy>
  <cp:revision>2</cp:revision>
  <cp:lastPrinted>2013-01-21T11:54:00Z</cp:lastPrinted>
  <dcterms:created xsi:type="dcterms:W3CDTF">2013-02-20T12:04:00Z</dcterms:created>
  <dcterms:modified xsi:type="dcterms:W3CDTF">2013-02-20T12:04:00Z</dcterms:modified>
</cp:coreProperties>
</file>