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BFF" w:rsidRDefault="000971B6">
      <w:pPr>
        <w:pStyle w:val="Vet"/>
        <w:rPr>
          <w:b w:val="0"/>
        </w:rPr>
      </w:pPr>
      <w:r>
        <w:rPr>
          <w:b w:val="0"/>
          <w:noProof/>
        </w:rPr>
        <w:drawing>
          <wp:anchor distT="0" distB="0" distL="114300" distR="114300" simplePos="0" relativeHeight="251657728" behindDoc="0" locked="0" layoutInCell="0" allowOverlap="1">
            <wp:simplePos x="0" y="0"/>
            <wp:positionH relativeFrom="page">
              <wp:posOffset>756285</wp:posOffset>
            </wp:positionH>
            <wp:positionV relativeFrom="page">
              <wp:posOffset>353060</wp:posOffset>
            </wp:positionV>
            <wp:extent cx="1919605" cy="798830"/>
            <wp:effectExtent l="19050" t="0" r="4445" b="0"/>
            <wp:wrapSquare wrapText="largest"/>
            <wp:docPr id="2" name="Afbeelding 2" descr="WAM - logo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M - logo_zwart"/>
                    <pic:cNvPicPr>
                      <a:picLocks noChangeAspect="1" noChangeArrowheads="1"/>
                    </pic:cNvPicPr>
                  </pic:nvPicPr>
                  <pic:blipFill>
                    <a:blip r:embed="rId8" cstate="print"/>
                    <a:srcRect/>
                    <a:stretch>
                      <a:fillRect/>
                    </a:stretch>
                  </pic:blipFill>
                  <pic:spPr bwMode="auto">
                    <a:xfrm>
                      <a:off x="0" y="0"/>
                      <a:ext cx="1919605" cy="798830"/>
                    </a:xfrm>
                    <a:prstGeom prst="rect">
                      <a:avLst/>
                    </a:prstGeom>
                    <a:noFill/>
                    <a:ln w="9525">
                      <a:noFill/>
                      <a:miter lim="800000"/>
                      <a:headEnd/>
                      <a:tailEnd/>
                    </a:ln>
                  </pic:spPr>
                </pic:pic>
              </a:graphicData>
            </a:graphic>
          </wp:anchor>
        </w:drawing>
      </w:r>
    </w:p>
    <w:p w:rsidR="008A1BFF" w:rsidRDefault="008A1BFF">
      <w:pPr>
        <w:pStyle w:val="Vet"/>
        <w:rPr>
          <w:b w:val="0"/>
        </w:rPr>
      </w:pPr>
    </w:p>
    <w:p w:rsidR="008A1BFF" w:rsidRDefault="008A1BFF">
      <w:pPr>
        <w:pStyle w:val="Vet"/>
        <w:rPr>
          <w:b w:val="0"/>
        </w:rPr>
      </w:pPr>
    </w:p>
    <w:p w:rsidR="008A1BFF" w:rsidRDefault="008A1BFF">
      <w:pPr>
        <w:pStyle w:val="Vet"/>
        <w:rPr>
          <w:b w:val="0"/>
        </w:rPr>
      </w:pPr>
    </w:p>
    <w:p w:rsidR="008A1BFF" w:rsidRDefault="00C65500">
      <w:pPr>
        <w:pStyle w:val="Vet"/>
        <w:rPr>
          <w:b w:val="0"/>
          <w:sz w:val="28"/>
        </w:rPr>
      </w:pPr>
      <w:r>
        <w:fldChar w:fldCharType="begin"/>
      </w:r>
      <w:r w:rsidR="008A1BFF">
        <w:instrText xml:space="preserve"> ADVANCE \y 121 </w:instrText>
      </w:r>
      <w:r>
        <w:fldChar w:fldCharType="end"/>
      </w:r>
      <w:r w:rsidR="008A1BFF">
        <w:rPr>
          <w:sz w:val="28"/>
        </w:rPr>
        <w:t xml:space="preserve">Raadsbesluit </w:t>
      </w:r>
      <w:bookmarkStart w:id="0" w:name="voorstelnummer"/>
      <w:bookmarkEnd w:id="0"/>
      <w:r w:rsidR="008A1BFF">
        <w:rPr>
          <w:sz w:val="28"/>
        </w:rPr>
        <w:t>20</w:t>
      </w:r>
      <w:r w:rsidR="00C02DA0">
        <w:rPr>
          <w:sz w:val="28"/>
        </w:rPr>
        <w:t>1</w:t>
      </w:r>
      <w:r w:rsidR="007042E3">
        <w:rPr>
          <w:sz w:val="28"/>
        </w:rPr>
        <w:t>3</w:t>
      </w:r>
      <w:r w:rsidR="008A1BFF">
        <w:rPr>
          <w:sz w:val="28"/>
        </w:rPr>
        <w:t>/</w:t>
      </w:r>
      <w:r w:rsidR="009539FA">
        <w:rPr>
          <w:sz w:val="28"/>
        </w:rPr>
        <w:t>……</w:t>
      </w:r>
    </w:p>
    <w:p w:rsidR="008A1BFF" w:rsidRDefault="008A1BFF"/>
    <w:p w:rsidR="008A1BFF" w:rsidRDefault="008A1BFF"/>
    <w:tbl>
      <w:tblPr>
        <w:tblW w:w="0" w:type="auto"/>
        <w:tblInd w:w="-1859" w:type="dxa"/>
        <w:tblLayout w:type="fixed"/>
        <w:tblCellMar>
          <w:left w:w="70" w:type="dxa"/>
          <w:right w:w="70" w:type="dxa"/>
        </w:tblCellMar>
        <w:tblLook w:val="0000" w:firstRow="0" w:lastRow="0" w:firstColumn="0" w:lastColumn="0" w:noHBand="0" w:noVBand="0"/>
      </w:tblPr>
      <w:tblGrid>
        <w:gridCol w:w="1873"/>
        <w:gridCol w:w="8006"/>
      </w:tblGrid>
      <w:tr w:rsidR="008A1BFF">
        <w:tc>
          <w:tcPr>
            <w:tcW w:w="1873" w:type="dxa"/>
          </w:tcPr>
          <w:p w:rsidR="008A1BFF" w:rsidRDefault="008A1BFF">
            <w:pPr>
              <w:jc w:val="right"/>
              <w:rPr>
                <w:sz w:val="14"/>
              </w:rPr>
            </w:pPr>
            <w:r>
              <w:rPr>
                <w:sz w:val="14"/>
              </w:rPr>
              <w:t>Onderwerp</w:t>
            </w:r>
          </w:p>
        </w:tc>
        <w:tc>
          <w:tcPr>
            <w:tcW w:w="8006" w:type="dxa"/>
          </w:tcPr>
          <w:p w:rsidR="008A1BFF" w:rsidRDefault="009539FA" w:rsidP="00E97457">
            <w:bookmarkStart w:id="1" w:name="onderwerp"/>
            <w:bookmarkEnd w:id="1"/>
            <w:r>
              <w:t>Liggeld voor woonschepen 20</w:t>
            </w:r>
            <w:r w:rsidR="00F743CF">
              <w:t>1</w:t>
            </w:r>
            <w:r w:rsidR="00E97457">
              <w:t>4</w:t>
            </w:r>
          </w:p>
        </w:tc>
      </w:tr>
    </w:tbl>
    <w:p w:rsidR="008A1BFF" w:rsidRDefault="008A1BFF"/>
    <w:p w:rsidR="008A1BFF" w:rsidRDefault="008A1BFF">
      <w:pPr>
        <w:sectPr w:rsidR="008A1BFF">
          <w:headerReference w:type="default" r:id="rId9"/>
          <w:footerReference w:type="first" r:id="rId10"/>
          <w:type w:val="continuous"/>
          <w:pgSz w:w="11906" w:h="16838" w:code="9"/>
          <w:pgMar w:top="822" w:right="1134" w:bottom="851" w:left="2552" w:header="822" w:footer="708" w:gutter="0"/>
          <w:cols w:space="708"/>
          <w:formProt w:val="0"/>
          <w:titlePg/>
        </w:sectPr>
      </w:pPr>
    </w:p>
    <w:p w:rsidR="008A1BFF" w:rsidRDefault="008A1BFF"/>
    <w:p w:rsidR="008A1BFF" w:rsidRDefault="008A1BFF"/>
    <w:p w:rsidR="008A1BFF" w:rsidRDefault="008A1BFF">
      <w:r>
        <w:t>De raad van de gemeente Haarlemmermeer;</w:t>
      </w:r>
    </w:p>
    <w:p w:rsidR="008A1BFF" w:rsidRDefault="008A1BFF"/>
    <w:p w:rsidR="006F17F1" w:rsidRDefault="008A1BFF">
      <w:r>
        <w:t xml:space="preserve">gelezen het voorstel van </w:t>
      </w:r>
      <w:r w:rsidR="00E76CC1">
        <w:t xml:space="preserve">het college van </w:t>
      </w:r>
      <w:r>
        <w:t xml:space="preserve">Burgemeester en Wethouders van </w:t>
      </w:r>
      <w:bookmarkStart w:id="3" w:name="datum"/>
      <w:bookmarkEnd w:id="3"/>
      <w:r w:rsidR="007042E3">
        <w:t>1 okto</w:t>
      </w:r>
      <w:r w:rsidR="00842B5A">
        <w:t>ber</w:t>
      </w:r>
      <w:r>
        <w:t xml:space="preserve"> 20</w:t>
      </w:r>
      <w:r w:rsidR="00C02DA0">
        <w:t>1</w:t>
      </w:r>
      <w:r w:rsidR="007042E3">
        <w:t>3</w:t>
      </w:r>
      <w:r>
        <w:t>,</w:t>
      </w:r>
      <w:r w:rsidR="00E76CC1">
        <w:t xml:space="preserve"> </w:t>
      </w:r>
    </w:p>
    <w:p w:rsidR="008A1BFF" w:rsidRDefault="008A1BFF">
      <w:r>
        <w:t xml:space="preserve">nummer </w:t>
      </w:r>
      <w:bookmarkStart w:id="4" w:name="nummer"/>
      <w:bookmarkEnd w:id="4"/>
      <w:r>
        <w:t>20</w:t>
      </w:r>
      <w:r w:rsidR="00C02DA0">
        <w:t>1</w:t>
      </w:r>
      <w:r w:rsidR="007042E3">
        <w:t>3</w:t>
      </w:r>
      <w:r>
        <w:t>/</w:t>
      </w:r>
      <w:r w:rsidR="009539FA">
        <w:t>………..</w:t>
      </w:r>
      <w:r>
        <w:t>;</w:t>
      </w:r>
    </w:p>
    <w:p w:rsidR="008A1BFF" w:rsidRDefault="008A1BFF"/>
    <w:p w:rsidR="008A1BFF" w:rsidRDefault="008A1BFF">
      <w:pPr>
        <w:rPr>
          <w:spacing w:val="-2"/>
        </w:rPr>
      </w:pPr>
      <w:r>
        <w:rPr>
          <w:spacing w:val="-2"/>
        </w:rPr>
        <w:t>gelet op artikel 229, eerste lid, aanhef en onderdeel a en b,  van de Gemeentewet;</w:t>
      </w:r>
    </w:p>
    <w:p w:rsidR="008A1BFF" w:rsidRDefault="008A1BFF">
      <w:pPr>
        <w:rPr>
          <w:spacing w:val="-2"/>
        </w:rPr>
      </w:pPr>
    </w:p>
    <w:p w:rsidR="008A1BFF" w:rsidRDefault="008A1BFF"/>
    <w:p w:rsidR="008A1BFF" w:rsidRDefault="008A1BFF">
      <w:pPr>
        <w:pStyle w:val="Vet"/>
      </w:pPr>
      <w:r>
        <w:t>besluit</w:t>
      </w:r>
      <w:r>
        <w:rPr>
          <w:b w:val="0"/>
        </w:rPr>
        <w:t>:</w:t>
      </w:r>
    </w:p>
    <w:p w:rsidR="008A1BFF" w:rsidRDefault="008A1BFF"/>
    <w:p w:rsidR="008A1BFF" w:rsidRDefault="008A1BFF">
      <w:p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37" w:lineRule="exact"/>
        <w:jc w:val="both"/>
        <w:rPr>
          <w:spacing w:val="-2"/>
        </w:rPr>
      </w:pPr>
      <w:r>
        <w:rPr>
          <w:spacing w:val="-2"/>
        </w:rPr>
        <w:t>vast te stellen de</w:t>
      </w:r>
      <w:r w:rsidR="00E76CC1">
        <w:rPr>
          <w:spacing w:val="-2"/>
        </w:rPr>
        <w:t xml:space="preserve"> volgende verordening</w:t>
      </w:r>
      <w:r>
        <w:rPr>
          <w:spacing w:val="-2"/>
        </w:rPr>
        <w:t>:</w:t>
      </w:r>
    </w:p>
    <w:p w:rsidR="008A1BFF" w:rsidRDefault="008A1BFF">
      <w:p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37" w:lineRule="exact"/>
        <w:jc w:val="both"/>
        <w:rPr>
          <w:spacing w:val="-2"/>
        </w:rPr>
      </w:pPr>
    </w:p>
    <w:p w:rsidR="008A1BFF" w:rsidRDefault="008A1BFF">
      <w:p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37" w:lineRule="exact"/>
        <w:jc w:val="both"/>
        <w:rPr>
          <w:spacing w:val="-2"/>
        </w:rPr>
      </w:pPr>
    </w:p>
    <w:p w:rsidR="008A1BFF" w:rsidRDefault="008A1BFF">
      <w:p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37" w:lineRule="exact"/>
        <w:jc w:val="both"/>
        <w:rPr>
          <w:spacing w:val="-2"/>
        </w:rPr>
      </w:pPr>
      <w:r>
        <w:rPr>
          <w:spacing w:val="-2"/>
        </w:rPr>
        <w:t xml:space="preserve">Verordening op de heffing en </w:t>
      </w:r>
      <w:r w:rsidR="00E76CC1">
        <w:rPr>
          <w:spacing w:val="-2"/>
        </w:rPr>
        <w:t xml:space="preserve">de </w:t>
      </w:r>
      <w:r>
        <w:rPr>
          <w:spacing w:val="-2"/>
        </w:rPr>
        <w:t>invordering van liggeld voor woonschepen 20</w:t>
      </w:r>
      <w:r w:rsidR="00C02DA0">
        <w:rPr>
          <w:spacing w:val="-2"/>
        </w:rPr>
        <w:t>1</w:t>
      </w:r>
      <w:r w:rsidR="007042E3">
        <w:rPr>
          <w:spacing w:val="-2"/>
        </w:rPr>
        <w:t>4</w:t>
      </w:r>
      <w:r>
        <w:rPr>
          <w:spacing w:val="-2"/>
        </w:rPr>
        <w:t>.</w:t>
      </w:r>
    </w:p>
    <w:p w:rsidR="00CC71BD" w:rsidRDefault="00CC71BD" w:rsidP="00CC71BD">
      <w:pPr>
        <w:tabs>
          <w:tab w:val="left" w:pos="-1440"/>
          <w:tab w:val="left" w:pos="-720"/>
          <w:tab w:val="left" w:pos="0"/>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("Verordening liggeld voor woonschepen 20</w:t>
      </w:r>
      <w:r w:rsidR="0047421F">
        <w:rPr>
          <w:spacing w:val="-2"/>
        </w:rPr>
        <w:t>1</w:t>
      </w:r>
      <w:r w:rsidR="007042E3">
        <w:rPr>
          <w:spacing w:val="-2"/>
        </w:rPr>
        <w:t>4</w:t>
      </w:r>
      <w:r>
        <w:rPr>
          <w:spacing w:val="-2"/>
        </w:rPr>
        <w:t>").</w:t>
      </w:r>
    </w:p>
    <w:p w:rsidR="008A1BFF" w:rsidRDefault="008A1BFF">
      <w:pPr>
        <w:tabs>
          <w:tab w:val="left" w:pos="-1440"/>
          <w:tab w:val="left" w:pos="-720"/>
          <w:tab w:val="left" w:pos="4365"/>
        </w:tabs>
        <w:spacing w:line="237" w:lineRule="exact"/>
        <w:jc w:val="both"/>
        <w:rPr>
          <w:spacing w:val="-2"/>
        </w:rPr>
      </w:pPr>
    </w:p>
    <w:p w:rsidR="008A1BFF" w:rsidRDefault="008A1BFF">
      <w:pPr>
        <w:tabs>
          <w:tab w:val="left" w:pos="-1440"/>
          <w:tab w:val="left" w:pos="-720"/>
          <w:tab w:val="left" w:pos="4365"/>
        </w:tabs>
        <w:spacing w:line="237" w:lineRule="exact"/>
        <w:jc w:val="both"/>
        <w:rPr>
          <w:spacing w:val="-2"/>
        </w:rPr>
      </w:pP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s>
        <w:spacing w:line="237" w:lineRule="exact"/>
        <w:jc w:val="both"/>
        <w:rPr>
          <w:spacing w:val="-2"/>
        </w:rPr>
      </w:pP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u w:val="single"/>
        </w:rPr>
        <w:t>Artikel 1</w:t>
      </w:r>
      <w:r>
        <w:rPr>
          <w:spacing w:val="-2"/>
        </w:rPr>
        <w:tab/>
      </w:r>
      <w:r>
        <w:rPr>
          <w:spacing w:val="-2"/>
        </w:rPr>
        <w:tab/>
      </w:r>
      <w:r>
        <w:rPr>
          <w:spacing w:val="-2"/>
          <w:u w:val="single"/>
        </w:rPr>
        <w:t>Begripsomschrijving</w:t>
      </w: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Deze verordening verstaat onder woonschip: een vaartuig dat uitsluitend of hoofdzakelijk als woning wordt gebruikt of tot woning is bestemd.</w:t>
      </w: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u w:val="single"/>
        </w:rPr>
        <w:t>Artikel 2</w:t>
      </w:r>
      <w:r>
        <w:rPr>
          <w:spacing w:val="-2"/>
        </w:rPr>
        <w:tab/>
      </w:r>
      <w:r>
        <w:rPr>
          <w:spacing w:val="-2"/>
        </w:rPr>
        <w:tab/>
      </w:r>
      <w:r>
        <w:rPr>
          <w:spacing w:val="-2"/>
          <w:u w:val="single"/>
        </w:rPr>
        <w:t>Belastbaar feit</w:t>
      </w: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Onder de naam 'liggeld voor woonschepen' wordt een recht geheven voor het innemen van een ligplaats met een woonschip op de aangewezen ligplaatsen binnen de gemeente.</w:t>
      </w: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u w:val="single"/>
        </w:rPr>
        <w:t>Artikel 3</w:t>
      </w:r>
      <w:r>
        <w:rPr>
          <w:spacing w:val="-2"/>
        </w:rPr>
        <w:tab/>
      </w:r>
      <w:r>
        <w:rPr>
          <w:spacing w:val="-2"/>
        </w:rPr>
        <w:tab/>
      </w:r>
      <w:r>
        <w:rPr>
          <w:spacing w:val="-2"/>
          <w:u w:val="single"/>
        </w:rPr>
        <w:t>Belastingplicht</w:t>
      </w: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8A1BFF" w:rsidRDefault="008A1BFF">
      <w:pPr>
        <w:pStyle w:val="Plattetekstinspringen"/>
        <w:jc w:val="left"/>
        <w:rPr>
          <w:rFonts w:ascii="Arial" w:hAnsi="Arial"/>
          <w:sz w:val="20"/>
        </w:rPr>
      </w:pPr>
      <w:r>
        <w:rPr>
          <w:rFonts w:ascii="Arial" w:hAnsi="Arial"/>
          <w:sz w:val="20"/>
        </w:rPr>
        <w:t>1.</w:t>
      </w:r>
      <w:r>
        <w:rPr>
          <w:rFonts w:ascii="Arial" w:hAnsi="Arial"/>
          <w:sz w:val="20"/>
        </w:rPr>
        <w:tab/>
        <w:t>Het recht als bedoeld in artikel 2 wordt geheven van degene die de ligplaats heeft. Als degene die de lig</w:t>
      </w:r>
      <w:r>
        <w:rPr>
          <w:rFonts w:ascii="Arial" w:hAnsi="Arial"/>
          <w:sz w:val="20"/>
        </w:rPr>
        <w:softHyphen/>
        <w:t>plaats heeft wordt aangemerkt de houder van een vergun</w:t>
      </w:r>
      <w:r>
        <w:rPr>
          <w:rFonts w:ascii="Arial" w:hAnsi="Arial"/>
          <w:sz w:val="20"/>
        </w:rPr>
        <w:softHyphen/>
        <w:t>ning, dan wel de hoofdbewoner van het woonschip. Wie als hoofdbe</w:t>
      </w:r>
      <w:r>
        <w:rPr>
          <w:rFonts w:ascii="Arial" w:hAnsi="Arial"/>
          <w:sz w:val="20"/>
        </w:rPr>
        <w:softHyphen/>
        <w:t>woner wordt aangemerkt wordt naar de omstandigheden beoordeeld.</w:t>
      </w: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6" w:hanging="576"/>
        <w:rPr>
          <w:spacing w:val="-2"/>
        </w:rPr>
      </w:pPr>
      <w:r>
        <w:rPr>
          <w:spacing w:val="-2"/>
        </w:rPr>
        <w:t>2.</w:t>
      </w:r>
      <w:r>
        <w:rPr>
          <w:spacing w:val="-2"/>
        </w:rPr>
        <w:tab/>
        <w:t>Bij gebreke van de in het eerste lid bedoelde vergun</w:t>
      </w:r>
      <w:r>
        <w:rPr>
          <w:spacing w:val="-2"/>
        </w:rPr>
        <w:softHyphen/>
        <w:t>ninghouder dan wel de hoofdbewoner, wordt het recht als bedoeld in artikel 2 geheven van de eigenaar van het woon</w:t>
      </w:r>
      <w:r>
        <w:rPr>
          <w:spacing w:val="-2"/>
        </w:rPr>
        <w:softHyphen/>
        <w:t>schip.</w:t>
      </w: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u w:val="single"/>
        </w:rPr>
      </w:pPr>
      <w:r>
        <w:rPr>
          <w:spacing w:val="-2"/>
          <w:u w:val="single"/>
        </w:rPr>
        <w:t>Artikel 4</w:t>
      </w:r>
      <w:r>
        <w:rPr>
          <w:spacing w:val="-2"/>
        </w:rPr>
        <w:tab/>
      </w:r>
      <w:r>
        <w:rPr>
          <w:spacing w:val="-2"/>
        </w:rPr>
        <w:tab/>
      </w:r>
      <w:r>
        <w:rPr>
          <w:spacing w:val="-2"/>
          <w:u w:val="single"/>
        </w:rPr>
        <w:t>Maatstaf van heffing en tarieven</w:t>
      </w: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Het recht als bedoeld in artikel 2 wordt geheven naar de lengte van het woon</w:t>
      </w:r>
      <w:r>
        <w:rPr>
          <w:spacing w:val="-2"/>
        </w:rPr>
        <w:softHyphen/>
        <w:t>schip en bedraagt per belastingjaar per woonschip:</w:t>
      </w: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1.</w:t>
      </w:r>
      <w:r>
        <w:rPr>
          <w:spacing w:val="-2"/>
        </w:rPr>
        <w:tab/>
        <w:t xml:space="preserve">voor de eerste </w:t>
      </w:r>
      <w:smartTag w:uri="urn:schemas-microsoft-com:office:smarttags" w:element="metricconverter">
        <w:smartTagPr>
          <w:attr w:name="ProductID" w:val="15 meter"/>
        </w:smartTagPr>
        <w:r>
          <w:rPr>
            <w:spacing w:val="-2"/>
          </w:rPr>
          <w:t>15 meter</w:t>
        </w:r>
      </w:smartTag>
      <w:r>
        <w:rPr>
          <w:spacing w:val="-2"/>
        </w:rPr>
        <w:t xml:space="preserve"> lengte van het woonschip, € 3</w:t>
      </w:r>
      <w:r w:rsidR="00361B84">
        <w:rPr>
          <w:spacing w:val="-2"/>
        </w:rPr>
        <w:t>73</w:t>
      </w:r>
      <w:r>
        <w:rPr>
          <w:spacing w:val="-2"/>
        </w:rPr>
        <w:t>,</w:t>
      </w:r>
      <w:r w:rsidR="00361B84">
        <w:rPr>
          <w:spacing w:val="-2"/>
        </w:rPr>
        <w:t>87</w:t>
      </w:r>
      <w:r>
        <w:rPr>
          <w:spacing w:val="-2"/>
        </w:rPr>
        <w:t>;</w:t>
      </w:r>
    </w:p>
    <w:p w:rsidR="008A1BFF" w:rsidRDefault="008A1BFF">
      <w:pPr>
        <w:pStyle w:val="Plattetekstinspringen2"/>
        <w:rPr>
          <w:rFonts w:ascii="Arial" w:hAnsi="Arial"/>
          <w:sz w:val="20"/>
        </w:rPr>
      </w:pPr>
      <w:r>
        <w:rPr>
          <w:rFonts w:ascii="Arial" w:hAnsi="Arial"/>
          <w:sz w:val="20"/>
        </w:rPr>
        <w:t>2.</w:t>
      </w:r>
      <w:r>
        <w:rPr>
          <w:rFonts w:ascii="Arial" w:hAnsi="Arial"/>
          <w:sz w:val="20"/>
        </w:rPr>
        <w:tab/>
        <w:t>voor elke meter of gedeelte daarvan waarmee het woon</w:t>
      </w:r>
      <w:r>
        <w:rPr>
          <w:rFonts w:ascii="Arial" w:hAnsi="Arial"/>
          <w:sz w:val="20"/>
        </w:rPr>
        <w:softHyphen/>
        <w:t xml:space="preserve">schip de lengte van </w:t>
      </w:r>
      <w:smartTag w:uri="urn:schemas-microsoft-com:office:smarttags" w:element="metricconverter">
        <w:smartTagPr>
          <w:attr w:name="ProductID" w:val="15 meter"/>
        </w:smartTagPr>
        <w:r>
          <w:rPr>
            <w:rFonts w:ascii="Arial" w:hAnsi="Arial"/>
            <w:sz w:val="20"/>
          </w:rPr>
          <w:t>15 meter</w:t>
        </w:r>
      </w:smartTag>
      <w:r w:rsidR="00C02DA0">
        <w:rPr>
          <w:rFonts w:ascii="Arial" w:hAnsi="Arial"/>
          <w:sz w:val="20"/>
        </w:rPr>
        <w:t xml:space="preserve"> overschrijdt, bovendien € 5</w:t>
      </w:r>
      <w:r w:rsidR="00361B84">
        <w:rPr>
          <w:rFonts w:ascii="Arial" w:hAnsi="Arial"/>
          <w:sz w:val="20"/>
        </w:rPr>
        <w:t>2</w:t>
      </w:r>
      <w:r>
        <w:rPr>
          <w:rFonts w:ascii="Arial" w:hAnsi="Arial"/>
          <w:sz w:val="20"/>
        </w:rPr>
        <w:t>,</w:t>
      </w:r>
      <w:r w:rsidR="00361B84">
        <w:rPr>
          <w:rFonts w:ascii="Arial" w:hAnsi="Arial"/>
          <w:sz w:val="20"/>
        </w:rPr>
        <w:t>45</w:t>
      </w:r>
      <w:r>
        <w:rPr>
          <w:rFonts w:ascii="Arial" w:hAnsi="Arial"/>
          <w:sz w:val="20"/>
        </w:rPr>
        <w:t>.</w:t>
      </w: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u w:val="single"/>
        </w:rPr>
      </w:pPr>
      <w:r>
        <w:rPr>
          <w:spacing w:val="-2"/>
          <w:u w:val="single"/>
        </w:rPr>
        <w:t>Artikel 5</w:t>
      </w:r>
      <w:r>
        <w:rPr>
          <w:spacing w:val="-2"/>
        </w:rPr>
        <w:tab/>
      </w:r>
      <w:r>
        <w:rPr>
          <w:spacing w:val="-2"/>
        </w:rPr>
        <w:tab/>
      </w:r>
      <w:r>
        <w:rPr>
          <w:spacing w:val="-2"/>
          <w:u w:val="single"/>
        </w:rPr>
        <w:t>Belastingjaar</w:t>
      </w: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Het belastingjaar is gelijk aan het kalenderjaar.</w:t>
      </w: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u w:val="single"/>
        </w:rPr>
        <w:t>Artikel 6</w:t>
      </w:r>
      <w:r>
        <w:rPr>
          <w:spacing w:val="-2"/>
        </w:rPr>
        <w:tab/>
      </w:r>
      <w:r>
        <w:rPr>
          <w:spacing w:val="-2"/>
        </w:rPr>
        <w:tab/>
      </w:r>
      <w:r>
        <w:rPr>
          <w:spacing w:val="-2"/>
          <w:u w:val="single"/>
        </w:rPr>
        <w:t>Wijze van heffing</w:t>
      </w: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De belasting wordt bij wege van aanslag geheven.</w:t>
      </w: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D619CD" w:rsidRDefault="00D619CD" w:rsidP="00D619CD">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u w:val="single"/>
        </w:rPr>
        <w:t>Artikel 7</w:t>
      </w:r>
      <w:r>
        <w:rPr>
          <w:spacing w:val="-2"/>
        </w:rPr>
        <w:tab/>
      </w:r>
      <w:r>
        <w:rPr>
          <w:spacing w:val="-2"/>
        </w:rPr>
        <w:tab/>
      </w:r>
      <w:r w:rsidRPr="00D619CD">
        <w:rPr>
          <w:spacing w:val="-2"/>
          <w:u w:val="single"/>
        </w:rPr>
        <w:t>Ontstaan van de belastingschuld en heffing naar tijdgelang</w:t>
      </w:r>
    </w:p>
    <w:p w:rsidR="00D619CD" w:rsidRDefault="00D619CD">
      <w:pPr>
        <w:pStyle w:val="Kop4"/>
        <w:rPr>
          <w:rFonts w:ascii="Arial" w:hAnsi="Arial"/>
          <w:sz w:val="20"/>
        </w:rPr>
      </w:pP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6" w:hanging="576"/>
        <w:rPr>
          <w:spacing w:val="-2"/>
        </w:rPr>
      </w:pPr>
      <w:r>
        <w:rPr>
          <w:spacing w:val="-2"/>
        </w:rPr>
        <w:t>1.</w:t>
      </w:r>
      <w:r>
        <w:rPr>
          <w:spacing w:val="-2"/>
        </w:rPr>
        <w:tab/>
        <w:t>Het recht als bedoeld in artikel 2 is verschuldigd bij het begin van het belastingjaar of, zo dit later is, bij aanvang van de belastingplicht.</w:t>
      </w: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6" w:hanging="576"/>
        <w:rPr>
          <w:spacing w:val="-2"/>
        </w:rPr>
      </w:pPr>
      <w:r>
        <w:rPr>
          <w:spacing w:val="-2"/>
        </w:rPr>
        <w:t>2.</w:t>
      </w:r>
      <w:r>
        <w:rPr>
          <w:spacing w:val="-2"/>
        </w:rPr>
        <w:tab/>
        <w:t>Indien de belastingplicht in de loop van het jaar aan</w:t>
      </w:r>
      <w:r>
        <w:rPr>
          <w:spacing w:val="-2"/>
        </w:rPr>
        <w:softHyphen/>
        <w:t>vangt, is het recht verschuldigd voor zoveel twaalfde gedeel</w:t>
      </w:r>
      <w:r>
        <w:rPr>
          <w:spacing w:val="-2"/>
        </w:rPr>
        <w:softHyphen/>
        <w:t>ten van het voor dat belastingjaar verschuldigde recht als er in dat belastingjaar, na de aanvang van de belasting</w:t>
      </w:r>
      <w:r>
        <w:rPr>
          <w:spacing w:val="-2"/>
        </w:rPr>
        <w:softHyphen/>
        <w:t>plicht nog volle kalendermaanden overblijven.</w:t>
      </w: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6" w:hanging="576"/>
        <w:rPr>
          <w:spacing w:val="-2"/>
        </w:rPr>
      </w:pPr>
      <w:r>
        <w:rPr>
          <w:spacing w:val="-2"/>
        </w:rPr>
        <w:t>3.</w:t>
      </w:r>
      <w:r>
        <w:rPr>
          <w:spacing w:val="-2"/>
        </w:rPr>
        <w:tab/>
        <w:t>Indien de belastingplicht in de loop van het belasting</w:t>
      </w:r>
      <w:r>
        <w:rPr>
          <w:spacing w:val="-2"/>
        </w:rPr>
        <w:softHyphen/>
        <w:t>jaar eindigt, bestaat aanspraak op ontheffing voor zoveel twaalfde gedeelten van het voor dat belastingjaar verschul</w:t>
      </w:r>
      <w:r>
        <w:rPr>
          <w:spacing w:val="-2"/>
        </w:rPr>
        <w:softHyphen/>
        <w:t>digde recht als er in dat belastingjaar, na het eindigen van de belastingplicht nog volle kalendermaanden overblijven. Het verzoek om ontheffing dient binnen zes weken na de opgetreden wijziging te zijn ingediend.</w:t>
      </w:r>
    </w:p>
    <w:p w:rsidR="00CC71BD" w:rsidRDefault="00CC71BD">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6" w:hanging="576"/>
        <w:rPr>
          <w:spacing w:val="-2"/>
        </w:rPr>
      </w:pPr>
      <w:r>
        <w:rPr>
          <w:spacing w:val="-2"/>
        </w:rPr>
        <w:t xml:space="preserve">4. </w:t>
      </w:r>
      <w:r>
        <w:rPr>
          <w:spacing w:val="-2"/>
        </w:rPr>
        <w:tab/>
      </w:r>
      <w:r w:rsidR="00EB72BD">
        <w:rPr>
          <w:spacing w:val="-2"/>
        </w:rPr>
        <w:t>Voor belastingbedragen tot € 10,00 vindt geen invordering plaats. Voor de toepassing van de vorige volzin wordt het totaal van op een aanslagbiljet verenigde verschuldigde bedragen liggeld voor woonschepen of andere heffingen aangemerkt als één belastingbedrag.</w:t>
      </w: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u w:val="single"/>
        </w:rPr>
        <w:t>Artikel 8</w:t>
      </w:r>
      <w:r>
        <w:rPr>
          <w:spacing w:val="-2"/>
        </w:rPr>
        <w:tab/>
      </w:r>
      <w:r>
        <w:rPr>
          <w:spacing w:val="-2"/>
        </w:rPr>
        <w:tab/>
      </w:r>
      <w:r>
        <w:rPr>
          <w:spacing w:val="-2"/>
          <w:u w:val="single"/>
        </w:rPr>
        <w:t>Termijnen van betaling</w:t>
      </w: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8A1BFF" w:rsidRDefault="008A1BFF">
      <w:pPr>
        <w:pStyle w:val="Plattetekstinspringen2"/>
        <w:rPr>
          <w:rFonts w:ascii="Arial" w:hAnsi="Arial"/>
          <w:sz w:val="20"/>
        </w:rPr>
      </w:pPr>
      <w:r>
        <w:rPr>
          <w:rFonts w:ascii="Arial" w:hAnsi="Arial"/>
          <w:sz w:val="20"/>
        </w:rPr>
        <w:t>1.</w:t>
      </w:r>
      <w:r>
        <w:rPr>
          <w:rFonts w:ascii="Arial" w:hAnsi="Arial"/>
          <w:sz w:val="20"/>
        </w:rPr>
        <w:tab/>
        <w:t>In afwijking van artikel 9, eerste lid, van de Invorderingswet 1990 moeten de aanslag</w:t>
      </w:r>
      <w:r w:rsidR="00AD69CC">
        <w:rPr>
          <w:rFonts w:ascii="Arial" w:hAnsi="Arial"/>
          <w:sz w:val="20"/>
        </w:rPr>
        <w:t>en  worden betaald binnen twee maanden na dagtekening van het aanslagbiljet.</w:t>
      </w: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6" w:hanging="576"/>
        <w:rPr>
          <w:spacing w:val="-2"/>
        </w:rPr>
      </w:pPr>
      <w:r>
        <w:rPr>
          <w:spacing w:val="-2"/>
        </w:rPr>
        <w:t>2.</w:t>
      </w:r>
      <w:r>
        <w:rPr>
          <w:spacing w:val="-2"/>
        </w:rPr>
        <w:tab/>
      </w:r>
      <w:r w:rsidR="00E76CC1">
        <w:rPr>
          <w:spacing w:val="-2"/>
        </w:rPr>
        <w:t>In afwijking van het eerste lid geldt, i</w:t>
      </w:r>
      <w:r>
        <w:rPr>
          <w:spacing w:val="-2"/>
        </w:rPr>
        <w:t>ngeval het totaalbedrag van de op één aanslagbiljet verenigde aan</w:t>
      </w:r>
      <w:r>
        <w:rPr>
          <w:spacing w:val="-2"/>
        </w:rPr>
        <w:softHyphen/>
        <w:t>sla</w:t>
      </w:r>
      <w:r>
        <w:rPr>
          <w:spacing w:val="-2"/>
        </w:rPr>
        <w:softHyphen/>
        <w:t xml:space="preserve">gen, of als het aanslagbiljet maar één aanslag bevat, het bedrag daarvan </w:t>
      </w:r>
      <w:r w:rsidR="00EB72BD">
        <w:rPr>
          <w:spacing w:val="-2"/>
        </w:rPr>
        <w:t xml:space="preserve">meer is dan € 100,00 en </w:t>
      </w:r>
      <w:r>
        <w:rPr>
          <w:spacing w:val="-2"/>
        </w:rPr>
        <w:t>minder i</w:t>
      </w:r>
      <w:r w:rsidR="005D274F">
        <w:rPr>
          <w:spacing w:val="-2"/>
        </w:rPr>
        <w:t>s dan € 5</w:t>
      </w:r>
      <w:r>
        <w:rPr>
          <w:spacing w:val="-2"/>
        </w:rPr>
        <w:t>.</w:t>
      </w:r>
      <w:r w:rsidR="005D274F">
        <w:rPr>
          <w:spacing w:val="-2"/>
        </w:rPr>
        <w:t>0</w:t>
      </w:r>
      <w:r>
        <w:rPr>
          <w:spacing w:val="-2"/>
        </w:rPr>
        <w:t>00,00 en zolang de ver</w:t>
      </w:r>
      <w:r>
        <w:rPr>
          <w:spacing w:val="-2"/>
        </w:rPr>
        <w:softHyphen/>
        <w:t>schuldigde bedragen door middel van automatische betalingsin</w:t>
      </w:r>
      <w:r>
        <w:rPr>
          <w:spacing w:val="-2"/>
        </w:rPr>
        <w:softHyphen/>
        <w:t xml:space="preserve">casso </w:t>
      </w:r>
      <w:r w:rsidR="00E76CC1">
        <w:rPr>
          <w:spacing w:val="-2"/>
        </w:rPr>
        <w:t xml:space="preserve">kunnen </w:t>
      </w:r>
      <w:r>
        <w:rPr>
          <w:spacing w:val="-2"/>
        </w:rPr>
        <w:t xml:space="preserve">worden </w:t>
      </w:r>
      <w:r w:rsidR="00E76CC1">
        <w:rPr>
          <w:spacing w:val="-2"/>
        </w:rPr>
        <w:t>afgeschreve</w:t>
      </w:r>
      <w:r>
        <w:rPr>
          <w:spacing w:val="-2"/>
        </w:rPr>
        <w:t>n, moeten de aanslagen worden betaald in negen gelijke termijnen. De eerste termijn vervalt op de laatste dag van de tweede maand volgend op de maand die in de dagte</w:t>
      </w:r>
      <w:r>
        <w:rPr>
          <w:spacing w:val="-2"/>
        </w:rPr>
        <w:softHyphen/>
        <w:t>kening van het aanslagbiljet is vermeld en elk van de volgen</w:t>
      </w:r>
      <w:r>
        <w:rPr>
          <w:spacing w:val="-2"/>
        </w:rPr>
        <w:softHyphen/>
        <w:t>de termijnen telkens één maand later.</w:t>
      </w:r>
    </w:p>
    <w:p w:rsidR="00CC71BD" w:rsidRDefault="00CC71BD" w:rsidP="00CC71BD">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6" w:hanging="576"/>
        <w:rPr>
          <w:spacing w:val="-2"/>
        </w:rPr>
      </w:pPr>
      <w:r>
        <w:rPr>
          <w:spacing w:val="-2"/>
        </w:rPr>
        <w:t xml:space="preserve">3. </w:t>
      </w:r>
      <w:r>
        <w:rPr>
          <w:spacing w:val="-2"/>
        </w:rPr>
        <w:tab/>
      </w:r>
      <w:r w:rsidR="00E76CC1">
        <w:rPr>
          <w:spacing w:val="-2"/>
        </w:rPr>
        <w:t>De Algemene t</w:t>
      </w:r>
      <w:r>
        <w:rPr>
          <w:spacing w:val="-2"/>
        </w:rPr>
        <w:t>ermijnenwe</w:t>
      </w:r>
      <w:r w:rsidR="00E76CC1">
        <w:rPr>
          <w:spacing w:val="-2"/>
        </w:rPr>
        <w:t xml:space="preserve">t is niet van toepassing op de </w:t>
      </w:r>
      <w:r w:rsidR="006F17F1">
        <w:rPr>
          <w:spacing w:val="-2"/>
        </w:rPr>
        <w:t xml:space="preserve">in de </w:t>
      </w:r>
      <w:r w:rsidR="00E76CC1">
        <w:rPr>
          <w:spacing w:val="-2"/>
        </w:rPr>
        <w:t>voorgaande le</w:t>
      </w:r>
      <w:r>
        <w:rPr>
          <w:spacing w:val="-2"/>
        </w:rPr>
        <w:t>d</w:t>
      </w:r>
      <w:r w:rsidR="00E76CC1">
        <w:rPr>
          <w:spacing w:val="-2"/>
        </w:rPr>
        <w:t>en</w:t>
      </w:r>
      <w:r>
        <w:rPr>
          <w:spacing w:val="-2"/>
        </w:rPr>
        <w:t xml:space="preserve"> gestelde termijnen.</w:t>
      </w:r>
    </w:p>
    <w:p w:rsidR="00CC71BD" w:rsidRDefault="00EB72BD">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6" w:hanging="576"/>
        <w:rPr>
          <w:spacing w:val="-2"/>
        </w:rPr>
      </w:pPr>
      <w:r>
        <w:rPr>
          <w:spacing w:val="-2"/>
        </w:rPr>
        <w:br w:type="page"/>
      </w: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u w:val="single"/>
        </w:rPr>
      </w:pPr>
      <w:r>
        <w:rPr>
          <w:spacing w:val="-2"/>
          <w:u w:val="single"/>
        </w:rPr>
        <w:t>Artikel 9</w:t>
      </w:r>
      <w:r>
        <w:rPr>
          <w:spacing w:val="-2"/>
        </w:rPr>
        <w:tab/>
      </w:r>
      <w:r>
        <w:rPr>
          <w:spacing w:val="-2"/>
        </w:rPr>
        <w:tab/>
      </w:r>
      <w:r>
        <w:rPr>
          <w:spacing w:val="-2"/>
          <w:u w:val="single"/>
        </w:rPr>
        <w:t>Nadere regels door het college van burge</w:t>
      </w:r>
      <w:r>
        <w:rPr>
          <w:spacing w:val="-2"/>
          <w:u w:val="single"/>
        </w:rPr>
        <w:softHyphen/>
        <w:t>meester en wethou</w:t>
      </w:r>
      <w:r>
        <w:rPr>
          <w:spacing w:val="-2"/>
          <w:u w:val="single"/>
        </w:rPr>
        <w:softHyphen/>
        <w:t>ders</w:t>
      </w: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Het college van burgemeester en wethouders kan nadere regels geven met betrekking tot de heffing en de invordering van het liggeld voor woonschepen.</w:t>
      </w: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u w:val="single"/>
        </w:rPr>
        <w:t>Artikel 10</w:t>
      </w:r>
      <w:r>
        <w:rPr>
          <w:spacing w:val="-2"/>
        </w:rPr>
        <w:tab/>
      </w:r>
      <w:r>
        <w:rPr>
          <w:spacing w:val="-2"/>
        </w:rPr>
        <w:tab/>
      </w:r>
      <w:r>
        <w:rPr>
          <w:spacing w:val="-2"/>
          <w:u w:val="single"/>
        </w:rPr>
        <w:t>Inwerkingtreding en citeertitel</w:t>
      </w: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8A1BFF" w:rsidRDefault="008A1BFF">
      <w:pPr>
        <w:pStyle w:val="Plattetekstinspringen2"/>
        <w:rPr>
          <w:rFonts w:ascii="Arial" w:hAnsi="Arial"/>
          <w:sz w:val="20"/>
        </w:rPr>
      </w:pPr>
      <w:r>
        <w:rPr>
          <w:rFonts w:ascii="Arial" w:hAnsi="Arial"/>
          <w:sz w:val="20"/>
        </w:rPr>
        <w:t>1.</w:t>
      </w:r>
      <w:r>
        <w:rPr>
          <w:rFonts w:ascii="Arial" w:hAnsi="Arial"/>
          <w:sz w:val="20"/>
        </w:rPr>
        <w:tab/>
        <w:t>De Verordening liggeld voor woonschepen 20</w:t>
      </w:r>
      <w:r w:rsidR="00C02DA0">
        <w:rPr>
          <w:rFonts w:ascii="Arial" w:hAnsi="Arial"/>
          <w:sz w:val="20"/>
        </w:rPr>
        <w:t>1</w:t>
      </w:r>
      <w:r w:rsidR="007042E3">
        <w:rPr>
          <w:rFonts w:ascii="Arial" w:hAnsi="Arial"/>
          <w:sz w:val="20"/>
        </w:rPr>
        <w:t>3</w:t>
      </w:r>
      <w:r>
        <w:rPr>
          <w:rFonts w:ascii="Arial" w:hAnsi="Arial"/>
          <w:sz w:val="20"/>
        </w:rPr>
        <w:t xml:space="preserve"> </w:t>
      </w:r>
      <w:r w:rsidR="006A5AF1">
        <w:rPr>
          <w:rFonts w:ascii="Arial" w:hAnsi="Arial"/>
          <w:sz w:val="20"/>
        </w:rPr>
        <w:t xml:space="preserve">van </w:t>
      </w:r>
      <w:r w:rsidR="007042E3">
        <w:rPr>
          <w:rFonts w:ascii="Arial" w:hAnsi="Arial"/>
          <w:sz w:val="20"/>
        </w:rPr>
        <w:t>8</w:t>
      </w:r>
      <w:r w:rsidR="006730BC">
        <w:rPr>
          <w:rFonts w:ascii="Arial" w:hAnsi="Arial"/>
          <w:sz w:val="20"/>
        </w:rPr>
        <w:t xml:space="preserve"> </w:t>
      </w:r>
      <w:r w:rsidR="004E04F2">
        <w:rPr>
          <w:rFonts w:ascii="Arial" w:hAnsi="Arial"/>
          <w:sz w:val="20"/>
        </w:rPr>
        <w:t>november 201</w:t>
      </w:r>
      <w:r w:rsidR="007042E3">
        <w:rPr>
          <w:rFonts w:ascii="Arial" w:hAnsi="Arial"/>
          <w:sz w:val="20"/>
        </w:rPr>
        <w:t>2</w:t>
      </w:r>
      <w:r w:rsidR="006A5AF1">
        <w:rPr>
          <w:rFonts w:ascii="Arial" w:hAnsi="Arial"/>
          <w:sz w:val="20"/>
        </w:rPr>
        <w:t xml:space="preserve"> </w:t>
      </w:r>
      <w:r>
        <w:rPr>
          <w:rFonts w:ascii="Arial" w:hAnsi="Arial"/>
          <w:sz w:val="20"/>
        </w:rPr>
        <w:t>wordt ingetrokken met ingang van de in het derde lid genoemde datum van ingang van de heffing, met dien verstande dat zij van toepassing blijft op de belastbare feiten die zich voor die datum hebben voorgedaan.</w:t>
      </w: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6" w:hanging="576"/>
        <w:rPr>
          <w:spacing w:val="-2"/>
        </w:rPr>
      </w:pPr>
      <w:r>
        <w:rPr>
          <w:spacing w:val="-2"/>
        </w:rPr>
        <w:t>2.</w:t>
      </w:r>
      <w:r>
        <w:rPr>
          <w:spacing w:val="-2"/>
        </w:rPr>
        <w:tab/>
        <w:t>Deze verordening treedt in werking met ingang van de eerste dag na die van bekendmaking</w:t>
      </w:r>
      <w:r w:rsidR="00193F1F">
        <w:rPr>
          <w:rFonts w:cs="Arial"/>
        </w:rPr>
        <w:t>, maa</w:t>
      </w:r>
      <w:r w:rsidR="00C02DA0">
        <w:rPr>
          <w:rFonts w:cs="Arial"/>
        </w:rPr>
        <w:t>r niet eerder dan 1 januari 201</w:t>
      </w:r>
      <w:r w:rsidR="007042E3">
        <w:rPr>
          <w:rFonts w:cs="Arial"/>
        </w:rPr>
        <w:t>4</w:t>
      </w:r>
      <w:r w:rsidR="0004769F">
        <w:rPr>
          <w:spacing w:val="-2"/>
        </w:rPr>
        <w:t>.</w:t>
      </w:r>
    </w:p>
    <w:p w:rsidR="008A1BFF" w:rsidRDefault="008A1BFF">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3.</w:t>
      </w:r>
      <w:r>
        <w:rPr>
          <w:spacing w:val="-2"/>
        </w:rPr>
        <w:tab/>
        <w:t>De datum van ingang van de heffing is 1 januari 20</w:t>
      </w:r>
      <w:r w:rsidR="00C02DA0">
        <w:rPr>
          <w:spacing w:val="-2"/>
        </w:rPr>
        <w:t>1</w:t>
      </w:r>
      <w:r w:rsidR="007042E3">
        <w:rPr>
          <w:spacing w:val="-2"/>
        </w:rPr>
        <w:t>4</w:t>
      </w:r>
      <w:r>
        <w:rPr>
          <w:spacing w:val="-2"/>
        </w:rPr>
        <w:t>.</w:t>
      </w:r>
    </w:p>
    <w:p w:rsidR="008A1BFF" w:rsidRDefault="008A1BFF">
      <w:pPr>
        <w:numPr>
          <w:ilvl w:val="0"/>
          <w:numId w:val="5"/>
        </w:numPr>
        <w:tabs>
          <w:tab w:val="left" w:pos="-1440"/>
          <w:tab w:val="left" w:pos="-720"/>
          <w:tab w:val="left" w:pos="0"/>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Deze verordening wordt aangehaald als: Verordening liggeld voor woonschepen 20</w:t>
      </w:r>
      <w:r w:rsidR="00C02DA0">
        <w:rPr>
          <w:spacing w:val="-2"/>
        </w:rPr>
        <w:t>1</w:t>
      </w:r>
      <w:r w:rsidR="007042E3">
        <w:rPr>
          <w:spacing w:val="-2"/>
        </w:rPr>
        <w:t>4</w:t>
      </w:r>
      <w:r w:rsidR="00C02DA0">
        <w:rPr>
          <w:spacing w:val="-2"/>
        </w:rPr>
        <w:t>.</w:t>
      </w:r>
    </w:p>
    <w:p w:rsidR="008A1BFF" w:rsidRDefault="008A1BFF"/>
    <w:p w:rsidR="008A1BFF" w:rsidRDefault="008A1BFF">
      <w:bookmarkStart w:id="5" w:name="tekst"/>
      <w:bookmarkEnd w:id="5"/>
    </w:p>
    <w:p w:rsidR="008A1BFF" w:rsidRDefault="008A1BFF">
      <w:r>
        <w:t xml:space="preserve">Vastgesteld in de openbare </w:t>
      </w:r>
      <w:r w:rsidR="007B6F4B">
        <w:t>raadsverga</w:t>
      </w:r>
      <w:r>
        <w:t xml:space="preserve">dering van </w:t>
      </w:r>
      <w:bookmarkStart w:id="6" w:name="datum2"/>
      <w:bookmarkEnd w:id="6"/>
      <w:r w:rsidR="007042E3">
        <w:t>7</w:t>
      </w:r>
      <w:bookmarkStart w:id="7" w:name="_GoBack"/>
      <w:bookmarkEnd w:id="7"/>
      <w:r w:rsidR="006A5AF1">
        <w:t xml:space="preserve"> </w:t>
      </w:r>
      <w:r w:rsidR="00842B5A">
        <w:t>nov</w:t>
      </w:r>
      <w:r w:rsidR="006A5AF1">
        <w:t xml:space="preserve">ember </w:t>
      </w:r>
      <w:r>
        <w:t>20</w:t>
      </w:r>
      <w:r w:rsidR="007042E3">
        <w:t>13</w:t>
      </w:r>
      <w:r>
        <w:t>.</w:t>
      </w:r>
    </w:p>
    <w:p w:rsidR="008A1BFF" w:rsidRDefault="008A1BFF"/>
    <w:p w:rsidR="008A1BFF" w:rsidRDefault="008A1BFF">
      <w:pPr>
        <w:tabs>
          <w:tab w:val="left" w:pos="4678"/>
        </w:tabs>
      </w:pPr>
      <w:r>
        <w:t>De griffier,</w:t>
      </w:r>
      <w:r>
        <w:tab/>
        <w:t>De voorzitter,</w:t>
      </w:r>
    </w:p>
    <w:p w:rsidR="008A1BFF" w:rsidRDefault="008A1BFF">
      <w:pPr>
        <w:tabs>
          <w:tab w:val="left" w:pos="4678"/>
        </w:tabs>
      </w:pPr>
    </w:p>
    <w:p w:rsidR="008A1BFF" w:rsidRDefault="008A1BFF">
      <w:pPr>
        <w:tabs>
          <w:tab w:val="left" w:pos="4678"/>
        </w:tabs>
      </w:pPr>
    </w:p>
    <w:p w:rsidR="008A1BFF" w:rsidRDefault="008A1BFF">
      <w:pPr>
        <w:tabs>
          <w:tab w:val="left" w:pos="4678"/>
        </w:tabs>
      </w:pPr>
    </w:p>
    <w:p w:rsidR="008A1BFF" w:rsidRDefault="008A1BFF">
      <w:pPr>
        <w:tabs>
          <w:tab w:val="left" w:pos="4678"/>
        </w:tabs>
      </w:pPr>
      <w:bookmarkStart w:id="8" w:name="bwgriffier"/>
      <w:bookmarkEnd w:id="8"/>
    </w:p>
    <w:p w:rsidR="00056266" w:rsidRDefault="00056266">
      <w:pPr>
        <w:tabs>
          <w:tab w:val="left" w:pos="4678"/>
        </w:tabs>
      </w:pPr>
      <w:r>
        <w:t>J. van der Rhee</w:t>
      </w:r>
      <w:bookmarkStart w:id="9" w:name="bwburg"/>
      <w:bookmarkEnd w:id="9"/>
      <w:r>
        <w:tab/>
        <w:t xml:space="preserve">drs. </w:t>
      </w:r>
      <w:proofErr w:type="spellStart"/>
      <w:r>
        <w:t>Th.L.N</w:t>
      </w:r>
      <w:proofErr w:type="spellEnd"/>
      <w:r>
        <w:t>. Weterings</w:t>
      </w:r>
    </w:p>
    <w:sectPr w:rsidR="00056266" w:rsidSect="00BC19C5">
      <w:type w:val="continuous"/>
      <w:pgSz w:w="11906" w:h="16838" w:code="9"/>
      <w:pgMar w:top="822" w:right="1134" w:bottom="851" w:left="2552" w:header="822" w:footer="708" w:gutter="0"/>
      <w:cols w:space="708"/>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21F" w:rsidRDefault="0047421F">
      <w:r>
        <w:separator/>
      </w:r>
    </w:p>
  </w:endnote>
  <w:endnote w:type="continuationSeparator" w:id="0">
    <w:p w:rsidR="0047421F" w:rsidRDefault="00474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Antiqu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21F" w:rsidRDefault="0047421F">
    <w:pPr>
      <w:pStyle w:val="Voettekst"/>
    </w:pPr>
  </w:p>
  <w:p w:rsidR="0047421F" w:rsidRDefault="0047421F">
    <w:pPr>
      <w:pStyle w:val="Voettekst"/>
    </w:pPr>
    <w:r>
      <w:rPr>
        <w:noProof/>
      </w:rPr>
      <w:drawing>
        <wp:anchor distT="0" distB="0" distL="114300" distR="114300" simplePos="0" relativeHeight="251657728" behindDoc="0" locked="0" layoutInCell="0" allowOverlap="1">
          <wp:simplePos x="0" y="0"/>
          <wp:positionH relativeFrom="column">
            <wp:posOffset>-1437640</wp:posOffset>
          </wp:positionH>
          <wp:positionV relativeFrom="page">
            <wp:posOffset>9601200</wp:posOffset>
          </wp:positionV>
          <wp:extent cx="7315200" cy="1021715"/>
          <wp:effectExtent l="19050" t="0" r="0" b="0"/>
          <wp:wrapNone/>
          <wp:docPr id="1" name="Afbeelding 1" descr="vorma aanpassing Func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ma aanpassing Funcke"/>
                  <pic:cNvPicPr>
                    <a:picLocks noChangeAspect="1" noChangeArrowheads="1"/>
                  </pic:cNvPicPr>
                </pic:nvPicPr>
                <pic:blipFill>
                  <a:blip r:embed="rId1"/>
                  <a:srcRect/>
                  <a:stretch>
                    <a:fillRect/>
                  </a:stretch>
                </pic:blipFill>
                <pic:spPr bwMode="auto">
                  <a:xfrm>
                    <a:off x="0" y="0"/>
                    <a:ext cx="7315200" cy="1021715"/>
                  </a:xfrm>
                  <a:prstGeom prst="rect">
                    <a:avLst/>
                  </a:prstGeom>
                  <a:noFill/>
                  <a:ln w="9525">
                    <a:noFill/>
                    <a:miter lim="800000"/>
                    <a:headEnd/>
                    <a:tailEnd/>
                  </a:ln>
                </pic:spPr>
              </pic:pic>
            </a:graphicData>
          </a:graphic>
        </wp:anchor>
      </w:drawing>
    </w:r>
  </w:p>
  <w:p w:rsidR="0047421F" w:rsidRDefault="0047421F">
    <w:pPr>
      <w:pStyle w:val="Voettekst"/>
    </w:pPr>
  </w:p>
  <w:p w:rsidR="0047421F" w:rsidRDefault="0047421F">
    <w:pPr>
      <w:pStyle w:val="Voettekst"/>
    </w:pPr>
  </w:p>
  <w:p w:rsidR="0047421F" w:rsidRDefault="0047421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21F" w:rsidRDefault="0047421F">
      <w:r>
        <w:separator/>
      </w:r>
    </w:p>
  </w:footnote>
  <w:footnote w:type="continuationSeparator" w:id="0">
    <w:p w:rsidR="0047421F" w:rsidRDefault="00474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843" w:type="dxa"/>
      <w:tblLayout w:type="fixed"/>
      <w:tblCellMar>
        <w:left w:w="142" w:type="dxa"/>
        <w:right w:w="142" w:type="dxa"/>
      </w:tblCellMar>
      <w:tblLook w:val="0000" w:firstRow="0" w:lastRow="0" w:firstColumn="0" w:lastColumn="0" w:noHBand="0" w:noVBand="0"/>
    </w:tblPr>
    <w:tblGrid>
      <w:gridCol w:w="1848"/>
      <w:gridCol w:w="7864"/>
    </w:tblGrid>
    <w:tr w:rsidR="0047421F">
      <w:tc>
        <w:tcPr>
          <w:tcW w:w="1848" w:type="dxa"/>
        </w:tcPr>
        <w:p w:rsidR="0047421F" w:rsidRDefault="0047421F">
          <w:pPr>
            <w:spacing w:line="240" w:lineRule="exact"/>
            <w:jc w:val="right"/>
            <w:rPr>
              <w:sz w:val="14"/>
            </w:rPr>
          </w:pPr>
          <w:r>
            <w:rPr>
              <w:sz w:val="14"/>
            </w:rPr>
            <w:t>Voorstelnummer</w:t>
          </w:r>
        </w:p>
      </w:tc>
      <w:tc>
        <w:tcPr>
          <w:tcW w:w="7864" w:type="dxa"/>
        </w:tcPr>
        <w:p w:rsidR="0047421F" w:rsidRDefault="0047421F" w:rsidP="007042E3">
          <w:pPr>
            <w:spacing w:line="240" w:lineRule="exact"/>
          </w:pPr>
          <w:bookmarkStart w:id="2" w:name="nummer2"/>
          <w:bookmarkEnd w:id="2"/>
          <w:r>
            <w:t>201</w:t>
          </w:r>
          <w:r w:rsidR="007042E3">
            <w:t>3</w:t>
          </w:r>
          <w:r>
            <w:t>/……………</w:t>
          </w:r>
        </w:p>
      </w:tc>
    </w:tr>
    <w:tr w:rsidR="0047421F">
      <w:tc>
        <w:tcPr>
          <w:tcW w:w="1848" w:type="dxa"/>
        </w:tcPr>
        <w:p w:rsidR="0047421F" w:rsidRDefault="0047421F">
          <w:pPr>
            <w:spacing w:line="240" w:lineRule="exact"/>
            <w:jc w:val="right"/>
            <w:rPr>
              <w:sz w:val="14"/>
            </w:rPr>
          </w:pPr>
          <w:r>
            <w:rPr>
              <w:sz w:val="14"/>
            </w:rPr>
            <w:t>Volgvel</w:t>
          </w:r>
        </w:p>
      </w:tc>
      <w:tc>
        <w:tcPr>
          <w:tcW w:w="7864" w:type="dxa"/>
        </w:tcPr>
        <w:p w:rsidR="0047421F" w:rsidRDefault="00CD3DB4">
          <w:pPr>
            <w:spacing w:line="240" w:lineRule="exact"/>
          </w:pPr>
          <w:r>
            <w:fldChar w:fldCharType="begin"/>
          </w:r>
          <w:r>
            <w:instrText xml:space="preserve"> PAGE </w:instrText>
          </w:r>
          <w:r>
            <w:fldChar w:fldCharType="separate"/>
          </w:r>
          <w:r>
            <w:rPr>
              <w:noProof/>
            </w:rPr>
            <w:t>3</w:t>
          </w:r>
          <w:r>
            <w:rPr>
              <w:noProof/>
            </w:rPr>
            <w:fldChar w:fldCharType="end"/>
          </w:r>
        </w:p>
      </w:tc>
    </w:tr>
  </w:tbl>
  <w:p w:rsidR="0047421F" w:rsidRDefault="0047421F"/>
  <w:p w:rsidR="0047421F" w:rsidRDefault="00474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068D3"/>
    <w:multiLevelType w:val="singleLevel"/>
    <w:tmpl w:val="6F4AC970"/>
    <w:lvl w:ilvl="0">
      <w:start w:val="2130"/>
      <w:numFmt w:val="bullet"/>
      <w:lvlText w:val="-"/>
      <w:lvlJc w:val="left"/>
      <w:pPr>
        <w:tabs>
          <w:tab w:val="num" w:pos="705"/>
        </w:tabs>
        <w:ind w:left="705" w:hanging="705"/>
      </w:pPr>
      <w:rPr>
        <w:rFonts w:hint="default"/>
      </w:rPr>
    </w:lvl>
  </w:abstractNum>
  <w:abstractNum w:abstractNumId="1">
    <w:nsid w:val="50965AA6"/>
    <w:multiLevelType w:val="singleLevel"/>
    <w:tmpl w:val="9C3631F4"/>
    <w:lvl w:ilvl="0">
      <w:start w:val="4"/>
      <w:numFmt w:val="decimal"/>
      <w:lvlText w:val="%1."/>
      <w:lvlJc w:val="left"/>
      <w:pPr>
        <w:tabs>
          <w:tab w:val="num" w:pos="570"/>
        </w:tabs>
        <w:ind w:left="570" w:hanging="570"/>
      </w:pPr>
      <w:rPr>
        <w:rFonts w:hint="default"/>
      </w:rPr>
    </w:lvl>
  </w:abstractNum>
  <w:abstractNum w:abstractNumId="2">
    <w:nsid w:val="7B1A576F"/>
    <w:multiLevelType w:val="multilevel"/>
    <w:tmpl w:val="FC68ED18"/>
    <w:lvl w:ilvl="0">
      <w:start w:val="1"/>
      <w:numFmt w:val="decimal"/>
      <w:pStyle w:val="Kop1"/>
      <w:lvlText w:val="%1."/>
      <w:lvlJc w:val="left"/>
      <w:pPr>
        <w:tabs>
          <w:tab w:val="num" w:pos="624"/>
        </w:tabs>
        <w:ind w:left="624" w:hanging="624"/>
      </w:pPr>
      <w:rPr>
        <w:rFonts w:ascii="Arial" w:hAnsi="Arial" w:hint="default"/>
        <w:b/>
        <w:i w:val="0"/>
        <w:sz w:val="20"/>
      </w:rPr>
    </w:lvl>
    <w:lvl w:ilvl="1">
      <w:start w:val="1"/>
      <w:numFmt w:val="decimal"/>
      <w:pStyle w:val="Kop2"/>
      <w:lvlText w:val="%1.%2."/>
      <w:lvlJc w:val="left"/>
      <w:pPr>
        <w:tabs>
          <w:tab w:val="num" w:pos="624"/>
        </w:tabs>
        <w:ind w:left="624" w:hanging="624"/>
      </w:pPr>
      <w:rPr>
        <w:rFonts w:ascii="Arial" w:hAnsi="Arial" w:hint="default"/>
        <w:b/>
        <w:i w:val="0"/>
        <w:sz w:val="20"/>
      </w:rPr>
    </w:lvl>
    <w:lvl w:ilvl="2">
      <w:start w:val="1"/>
      <w:numFmt w:val="decimal"/>
      <w:pStyle w:val="Kop3"/>
      <w:lvlText w:val="%1.%2.%3."/>
      <w:lvlJc w:val="left"/>
      <w:pPr>
        <w:tabs>
          <w:tab w:val="num" w:pos="624"/>
        </w:tabs>
        <w:ind w:left="624" w:hanging="624"/>
      </w:pPr>
      <w:rPr>
        <w:rFonts w:ascii="Arial" w:hAnsi="Arial" w:hint="default"/>
        <w:b/>
        <w:i w:val="0"/>
        <w:sz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2"/>
  </w:num>
  <w:num w:numId="3">
    <w:abstractNumId w:val="2"/>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activeWritingStyle w:appName="MSWord" w:lang="nl-NL" w:vendorID="9" w:dllVersion="512" w:checkStyle="1"/>
  <w:activeWritingStyle w:appName="MSWord" w:lang="nl-NL" w:vendorID="1"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562"/>
    <w:rsid w:val="0004769F"/>
    <w:rsid w:val="00056266"/>
    <w:rsid w:val="000912A4"/>
    <w:rsid w:val="000971B6"/>
    <w:rsid w:val="00100AC6"/>
    <w:rsid w:val="00193F1F"/>
    <w:rsid w:val="001A1500"/>
    <w:rsid w:val="001D00C8"/>
    <w:rsid w:val="002108B2"/>
    <w:rsid w:val="00286E31"/>
    <w:rsid w:val="002A0562"/>
    <w:rsid w:val="00361B84"/>
    <w:rsid w:val="00473AC4"/>
    <w:rsid w:val="0047421F"/>
    <w:rsid w:val="00475B6D"/>
    <w:rsid w:val="004956FB"/>
    <w:rsid w:val="004D1715"/>
    <w:rsid w:val="004E04F2"/>
    <w:rsid w:val="005033FC"/>
    <w:rsid w:val="005943FA"/>
    <w:rsid w:val="005D274F"/>
    <w:rsid w:val="005F0C0B"/>
    <w:rsid w:val="006730BC"/>
    <w:rsid w:val="006A5AF1"/>
    <w:rsid w:val="006F17F1"/>
    <w:rsid w:val="007042E3"/>
    <w:rsid w:val="00774627"/>
    <w:rsid w:val="007B6F4B"/>
    <w:rsid w:val="00800C45"/>
    <w:rsid w:val="008272CC"/>
    <w:rsid w:val="00842B5A"/>
    <w:rsid w:val="008A1BFF"/>
    <w:rsid w:val="00917D5D"/>
    <w:rsid w:val="00926DC9"/>
    <w:rsid w:val="009539FA"/>
    <w:rsid w:val="00993217"/>
    <w:rsid w:val="009C0ADE"/>
    <w:rsid w:val="009C68A7"/>
    <w:rsid w:val="00AD69CC"/>
    <w:rsid w:val="00AF668F"/>
    <w:rsid w:val="00B84643"/>
    <w:rsid w:val="00B859EA"/>
    <w:rsid w:val="00BC19C5"/>
    <w:rsid w:val="00C02DA0"/>
    <w:rsid w:val="00C154F8"/>
    <w:rsid w:val="00C65500"/>
    <w:rsid w:val="00CA53A7"/>
    <w:rsid w:val="00CC71BD"/>
    <w:rsid w:val="00CD3DB4"/>
    <w:rsid w:val="00D11ECB"/>
    <w:rsid w:val="00D619CD"/>
    <w:rsid w:val="00D65030"/>
    <w:rsid w:val="00D67986"/>
    <w:rsid w:val="00DB6302"/>
    <w:rsid w:val="00DD62E7"/>
    <w:rsid w:val="00E76CC1"/>
    <w:rsid w:val="00E97457"/>
    <w:rsid w:val="00EB72BD"/>
    <w:rsid w:val="00F743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C19C5"/>
    <w:pPr>
      <w:spacing w:line="280" w:lineRule="exact"/>
    </w:pPr>
    <w:rPr>
      <w:rFonts w:ascii="Arial" w:hAnsi="Arial"/>
    </w:rPr>
  </w:style>
  <w:style w:type="paragraph" w:styleId="Kop1">
    <w:name w:val="heading 1"/>
    <w:aliases w:val="Vet + inhoudsopg-niveau 1"/>
    <w:basedOn w:val="Standaard"/>
    <w:next w:val="Standaard"/>
    <w:qFormat/>
    <w:rsid w:val="00BC19C5"/>
    <w:pPr>
      <w:keepNext/>
      <w:numPr>
        <w:numId w:val="2"/>
      </w:numPr>
      <w:spacing w:before="120"/>
      <w:outlineLvl w:val="0"/>
    </w:pPr>
    <w:rPr>
      <w:b/>
    </w:rPr>
  </w:style>
  <w:style w:type="paragraph" w:styleId="Kop2">
    <w:name w:val="heading 2"/>
    <w:aliases w:val="Vet + inhoudsopg-niveau 2"/>
    <w:basedOn w:val="Standaard"/>
    <w:next w:val="Standaard"/>
    <w:qFormat/>
    <w:rsid w:val="00BC19C5"/>
    <w:pPr>
      <w:keepNext/>
      <w:numPr>
        <w:ilvl w:val="1"/>
        <w:numId w:val="2"/>
      </w:numPr>
      <w:spacing w:before="120"/>
      <w:outlineLvl w:val="1"/>
    </w:pPr>
    <w:rPr>
      <w:b/>
    </w:rPr>
  </w:style>
  <w:style w:type="paragraph" w:styleId="Kop3">
    <w:name w:val="heading 3"/>
    <w:aliases w:val="Vet + inhoudsopg-niveau 3"/>
    <w:basedOn w:val="Standaard"/>
    <w:next w:val="Standaard"/>
    <w:qFormat/>
    <w:rsid w:val="00BC19C5"/>
    <w:pPr>
      <w:keepNext/>
      <w:numPr>
        <w:ilvl w:val="2"/>
        <w:numId w:val="2"/>
      </w:numPr>
      <w:spacing w:before="120"/>
      <w:outlineLvl w:val="2"/>
    </w:pPr>
    <w:rPr>
      <w:b/>
    </w:rPr>
  </w:style>
  <w:style w:type="paragraph" w:styleId="Kop4">
    <w:name w:val="heading 4"/>
    <w:basedOn w:val="Standaard"/>
    <w:next w:val="Standaard"/>
    <w:qFormat/>
    <w:rsid w:val="00BC19C5"/>
    <w:pPr>
      <w:keepNext/>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outlineLvl w:val="3"/>
    </w:pPr>
    <w:rPr>
      <w:rFonts w:ascii="Garamond Antiqua" w:hAnsi="Garamond Antiqua"/>
      <w:spacing w:val="-2"/>
      <w:sz w:val="21"/>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einspring">
    <w:name w:val="1e inspring"/>
    <w:basedOn w:val="Standaard"/>
    <w:rsid w:val="00BC19C5"/>
    <w:pPr>
      <w:tabs>
        <w:tab w:val="left" w:pos="425"/>
      </w:tabs>
      <w:ind w:left="425" w:hanging="425"/>
    </w:pPr>
  </w:style>
  <w:style w:type="paragraph" w:customStyle="1" w:styleId="2einspring">
    <w:name w:val="2e inspring"/>
    <w:basedOn w:val="Standaard"/>
    <w:next w:val="Standaard"/>
    <w:rsid w:val="00BC19C5"/>
    <w:pPr>
      <w:ind w:left="737" w:hanging="312"/>
    </w:pPr>
  </w:style>
  <w:style w:type="paragraph" w:customStyle="1" w:styleId="Cursief">
    <w:name w:val="Cursief"/>
    <w:basedOn w:val="Standaard"/>
    <w:next w:val="Standaard"/>
    <w:rsid w:val="00BC19C5"/>
    <w:rPr>
      <w:i/>
    </w:rPr>
  </w:style>
  <w:style w:type="paragraph" w:customStyle="1" w:styleId="Vet">
    <w:name w:val="Vet"/>
    <w:basedOn w:val="Standaard"/>
    <w:rsid w:val="00BC19C5"/>
    <w:rPr>
      <w:b/>
    </w:rPr>
  </w:style>
  <w:style w:type="paragraph" w:styleId="Koptekst">
    <w:name w:val="header"/>
    <w:basedOn w:val="Standaard"/>
    <w:rsid w:val="00BC19C5"/>
    <w:pPr>
      <w:tabs>
        <w:tab w:val="center" w:pos="4536"/>
        <w:tab w:val="right" w:pos="9072"/>
      </w:tabs>
    </w:pPr>
  </w:style>
  <w:style w:type="paragraph" w:styleId="Voettekst">
    <w:name w:val="footer"/>
    <w:basedOn w:val="Standaard"/>
    <w:rsid w:val="00BC19C5"/>
    <w:pPr>
      <w:tabs>
        <w:tab w:val="center" w:pos="4536"/>
        <w:tab w:val="right" w:pos="9072"/>
      </w:tabs>
    </w:pPr>
  </w:style>
  <w:style w:type="paragraph" w:customStyle="1" w:styleId="Dienstkop">
    <w:name w:val="Dienstkop"/>
    <w:basedOn w:val="Standaard"/>
    <w:next w:val="Standaard"/>
    <w:rsid w:val="00BC19C5"/>
    <w:rPr>
      <w:b/>
      <w:sz w:val="23"/>
    </w:rPr>
  </w:style>
  <w:style w:type="paragraph" w:styleId="Inhopg1">
    <w:name w:val="toc 1"/>
    <w:basedOn w:val="Standaard"/>
    <w:next w:val="Standaard"/>
    <w:autoRedefine/>
    <w:semiHidden/>
    <w:rsid w:val="00BC19C5"/>
    <w:pPr>
      <w:spacing w:before="120" w:after="120"/>
    </w:pPr>
    <w:rPr>
      <w:b/>
      <w:smallCaps/>
    </w:rPr>
  </w:style>
  <w:style w:type="paragraph" w:styleId="Inhopg2">
    <w:name w:val="toc 2"/>
    <w:basedOn w:val="Standaard"/>
    <w:next w:val="Standaard"/>
    <w:autoRedefine/>
    <w:semiHidden/>
    <w:rsid w:val="00BC19C5"/>
    <w:pPr>
      <w:ind w:left="221"/>
    </w:pPr>
    <w:rPr>
      <w:smallCaps/>
      <w:noProof/>
    </w:rPr>
  </w:style>
  <w:style w:type="paragraph" w:styleId="Inhopg3">
    <w:name w:val="toc 3"/>
    <w:basedOn w:val="Standaard"/>
    <w:next w:val="Standaard"/>
    <w:autoRedefine/>
    <w:semiHidden/>
    <w:rsid w:val="00BC19C5"/>
    <w:pPr>
      <w:tabs>
        <w:tab w:val="left" w:pos="880"/>
        <w:tab w:val="right" w:leader="dot" w:pos="9062"/>
      </w:tabs>
      <w:ind w:left="221"/>
    </w:pPr>
    <w:rPr>
      <w:smallCaps/>
      <w:noProof/>
    </w:rPr>
  </w:style>
  <w:style w:type="paragraph" w:customStyle="1" w:styleId="Onderstrepen">
    <w:name w:val="Onderstrepen"/>
    <w:basedOn w:val="Standaard"/>
    <w:next w:val="Standaard"/>
    <w:rsid w:val="00BC19C5"/>
    <w:rPr>
      <w:u w:val="single"/>
    </w:rPr>
  </w:style>
  <w:style w:type="paragraph" w:styleId="Plattetekstinspringen">
    <w:name w:val="Body Text Indent"/>
    <w:basedOn w:val="Standaard"/>
    <w:rsid w:val="00BC19C5"/>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6" w:hanging="576"/>
      <w:jc w:val="both"/>
    </w:pPr>
    <w:rPr>
      <w:rFonts w:ascii="Garamond Antiqua" w:hAnsi="Garamond Antiqua"/>
      <w:spacing w:val="-2"/>
      <w:sz w:val="21"/>
    </w:rPr>
  </w:style>
  <w:style w:type="paragraph" w:styleId="Plattetekstinspringen2">
    <w:name w:val="Body Text Indent 2"/>
    <w:basedOn w:val="Standaard"/>
    <w:rsid w:val="00BC19C5"/>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6" w:hanging="576"/>
    </w:pPr>
    <w:rPr>
      <w:rFonts w:ascii="Garamond Antiqua" w:hAnsi="Garamond Antiqua"/>
      <w:spacing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C19C5"/>
    <w:pPr>
      <w:spacing w:line="280" w:lineRule="exact"/>
    </w:pPr>
    <w:rPr>
      <w:rFonts w:ascii="Arial" w:hAnsi="Arial"/>
    </w:rPr>
  </w:style>
  <w:style w:type="paragraph" w:styleId="Kop1">
    <w:name w:val="heading 1"/>
    <w:aliases w:val="Vet + inhoudsopg-niveau 1"/>
    <w:basedOn w:val="Standaard"/>
    <w:next w:val="Standaard"/>
    <w:qFormat/>
    <w:rsid w:val="00BC19C5"/>
    <w:pPr>
      <w:keepNext/>
      <w:numPr>
        <w:numId w:val="2"/>
      </w:numPr>
      <w:spacing w:before="120"/>
      <w:outlineLvl w:val="0"/>
    </w:pPr>
    <w:rPr>
      <w:b/>
    </w:rPr>
  </w:style>
  <w:style w:type="paragraph" w:styleId="Kop2">
    <w:name w:val="heading 2"/>
    <w:aliases w:val="Vet + inhoudsopg-niveau 2"/>
    <w:basedOn w:val="Standaard"/>
    <w:next w:val="Standaard"/>
    <w:qFormat/>
    <w:rsid w:val="00BC19C5"/>
    <w:pPr>
      <w:keepNext/>
      <w:numPr>
        <w:ilvl w:val="1"/>
        <w:numId w:val="2"/>
      </w:numPr>
      <w:spacing w:before="120"/>
      <w:outlineLvl w:val="1"/>
    </w:pPr>
    <w:rPr>
      <w:b/>
    </w:rPr>
  </w:style>
  <w:style w:type="paragraph" w:styleId="Kop3">
    <w:name w:val="heading 3"/>
    <w:aliases w:val="Vet + inhoudsopg-niveau 3"/>
    <w:basedOn w:val="Standaard"/>
    <w:next w:val="Standaard"/>
    <w:qFormat/>
    <w:rsid w:val="00BC19C5"/>
    <w:pPr>
      <w:keepNext/>
      <w:numPr>
        <w:ilvl w:val="2"/>
        <w:numId w:val="2"/>
      </w:numPr>
      <w:spacing w:before="120"/>
      <w:outlineLvl w:val="2"/>
    </w:pPr>
    <w:rPr>
      <w:b/>
    </w:rPr>
  </w:style>
  <w:style w:type="paragraph" w:styleId="Kop4">
    <w:name w:val="heading 4"/>
    <w:basedOn w:val="Standaard"/>
    <w:next w:val="Standaard"/>
    <w:qFormat/>
    <w:rsid w:val="00BC19C5"/>
    <w:pPr>
      <w:keepNext/>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outlineLvl w:val="3"/>
    </w:pPr>
    <w:rPr>
      <w:rFonts w:ascii="Garamond Antiqua" w:hAnsi="Garamond Antiqua"/>
      <w:spacing w:val="-2"/>
      <w:sz w:val="21"/>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einspring">
    <w:name w:val="1e inspring"/>
    <w:basedOn w:val="Standaard"/>
    <w:rsid w:val="00BC19C5"/>
    <w:pPr>
      <w:tabs>
        <w:tab w:val="left" w:pos="425"/>
      </w:tabs>
      <w:ind w:left="425" w:hanging="425"/>
    </w:pPr>
  </w:style>
  <w:style w:type="paragraph" w:customStyle="1" w:styleId="2einspring">
    <w:name w:val="2e inspring"/>
    <w:basedOn w:val="Standaard"/>
    <w:next w:val="Standaard"/>
    <w:rsid w:val="00BC19C5"/>
    <w:pPr>
      <w:ind w:left="737" w:hanging="312"/>
    </w:pPr>
  </w:style>
  <w:style w:type="paragraph" w:customStyle="1" w:styleId="Cursief">
    <w:name w:val="Cursief"/>
    <w:basedOn w:val="Standaard"/>
    <w:next w:val="Standaard"/>
    <w:rsid w:val="00BC19C5"/>
    <w:rPr>
      <w:i/>
    </w:rPr>
  </w:style>
  <w:style w:type="paragraph" w:customStyle="1" w:styleId="Vet">
    <w:name w:val="Vet"/>
    <w:basedOn w:val="Standaard"/>
    <w:rsid w:val="00BC19C5"/>
    <w:rPr>
      <w:b/>
    </w:rPr>
  </w:style>
  <w:style w:type="paragraph" w:styleId="Koptekst">
    <w:name w:val="header"/>
    <w:basedOn w:val="Standaard"/>
    <w:rsid w:val="00BC19C5"/>
    <w:pPr>
      <w:tabs>
        <w:tab w:val="center" w:pos="4536"/>
        <w:tab w:val="right" w:pos="9072"/>
      </w:tabs>
    </w:pPr>
  </w:style>
  <w:style w:type="paragraph" w:styleId="Voettekst">
    <w:name w:val="footer"/>
    <w:basedOn w:val="Standaard"/>
    <w:rsid w:val="00BC19C5"/>
    <w:pPr>
      <w:tabs>
        <w:tab w:val="center" w:pos="4536"/>
        <w:tab w:val="right" w:pos="9072"/>
      </w:tabs>
    </w:pPr>
  </w:style>
  <w:style w:type="paragraph" w:customStyle="1" w:styleId="Dienstkop">
    <w:name w:val="Dienstkop"/>
    <w:basedOn w:val="Standaard"/>
    <w:next w:val="Standaard"/>
    <w:rsid w:val="00BC19C5"/>
    <w:rPr>
      <w:b/>
      <w:sz w:val="23"/>
    </w:rPr>
  </w:style>
  <w:style w:type="paragraph" w:styleId="Inhopg1">
    <w:name w:val="toc 1"/>
    <w:basedOn w:val="Standaard"/>
    <w:next w:val="Standaard"/>
    <w:autoRedefine/>
    <w:semiHidden/>
    <w:rsid w:val="00BC19C5"/>
    <w:pPr>
      <w:spacing w:before="120" w:after="120"/>
    </w:pPr>
    <w:rPr>
      <w:b/>
      <w:smallCaps/>
    </w:rPr>
  </w:style>
  <w:style w:type="paragraph" w:styleId="Inhopg2">
    <w:name w:val="toc 2"/>
    <w:basedOn w:val="Standaard"/>
    <w:next w:val="Standaard"/>
    <w:autoRedefine/>
    <w:semiHidden/>
    <w:rsid w:val="00BC19C5"/>
    <w:pPr>
      <w:ind w:left="221"/>
    </w:pPr>
    <w:rPr>
      <w:smallCaps/>
      <w:noProof/>
    </w:rPr>
  </w:style>
  <w:style w:type="paragraph" w:styleId="Inhopg3">
    <w:name w:val="toc 3"/>
    <w:basedOn w:val="Standaard"/>
    <w:next w:val="Standaard"/>
    <w:autoRedefine/>
    <w:semiHidden/>
    <w:rsid w:val="00BC19C5"/>
    <w:pPr>
      <w:tabs>
        <w:tab w:val="left" w:pos="880"/>
        <w:tab w:val="right" w:leader="dot" w:pos="9062"/>
      </w:tabs>
      <w:ind w:left="221"/>
    </w:pPr>
    <w:rPr>
      <w:smallCaps/>
      <w:noProof/>
    </w:rPr>
  </w:style>
  <w:style w:type="paragraph" w:customStyle="1" w:styleId="Onderstrepen">
    <w:name w:val="Onderstrepen"/>
    <w:basedOn w:val="Standaard"/>
    <w:next w:val="Standaard"/>
    <w:rsid w:val="00BC19C5"/>
    <w:rPr>
      <w:u w:val="single"/>
    </w:rPr>
  </w:style>
  <w:style w:type="paragraph" w:styleId="Plattetekstinspringen">
    <w:name w:val="Body Text Indent"/>
    <w:basedOn w:val="Standaard"/>
    <w:rsid w:val="00BC19C5"/>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6" w:hanging="576"/>
      <w:jc w:val="both"/>
    </w:pPr>
    <w:rPr>
      <w:rFonts w:ascii="Garamond Antiqua" w:hAnsi="Garamond Antiqua"/>
      <w:spacing w:val="-2"/>
      <w:sz w:val="21"/>
    </w:rPr>
  </w:style>
  <w:style w:type="paragraph" w:styleId="Plattetekstinspringen2">
    <w:name w:val="Body Text Indent 2"/>
    <w:basedOn w:val="Standaard"/>
    <w:rsid w:val="00BC19C5"/>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6" w:hanging="576"/>
    </w:pPr>
    <w:rPr>
      <w:rFonts w:ascii="Garamond Antiqua" w:hAnsi="Garamond Antiqua"/>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HUISSTIJL\SJABLONEN\HmRdbesluit.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HmRdbesluit</Template>
  <TotalTime>10</TotalTime>
  <Pages>3</Pages>
  <Words>747</Words>
  <Characters>4202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Gemeente Haarlemmermeer</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 Marian</dc:creator>
  <cp:lastModifiedBy>Jak, Marian</cp:lastModifiedBy>
  <cp:revision>3</cp:revision>
  <cp:lastPrinted>2006-11-13T11:44:00Z</cp:lastPrinted>
  <dcterms:created xsi:type="dcterms:W3CDTF">2013-09-18T13:03:00Z</dcterms:created>
  <dcterms:modified xsi:type="dcterms:W3CDTF">2013-09-18T13:14:00Z</dcterms:modified>
</cp:coreProperties>
</file>