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57" w:rsidRDefault="00E27D57">
      <w:r w:rsidRPr="00C27BD6">
        <w:rPr>
          <w:rFonts w:cs="Arial"/>
          <w:b/>
          <w:noProof/>
        </w:rPr>
        <w:drawing>
          <wp:anchor distT="0" distB="0" distL="114300" distR="114300" simplePos="0" relativeHeight="251659264" behindDoc="0" locked="0" layoutInCell="0" allowOverlap="1" wp14:anchorId="59D142F9" wp14:editId="4C032BDD">
            <wp:simplePos x="0" y="0"/>
            <wp:positionH relativeFrom="page">
              <wp:posOffset>1016000</wp:posOffset>
            </wp:positionH>
            <wp:positionV relativeFrom="page">
              <wp:posOffset>881380</wp:posOffset>
            </wp:positionV>
            <wp:extent cx="1563370" cy="650875"/>
            <wp:effectExtent l="0" t="0" r="0" b="0"/>
            <wp:wrapSquare wrapText="largest"/>
            <wp:docPr id="1" name="Afbeelding 1"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3370"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57" w:rsidRDefault="00E27D57"/>
    <w:p w:rsidR="00E27D57" w:rsidRDefault="00E27D57"/>
    <w:p w:rsidR="00E27D57" w:rsidRDefault="00E27D57"/>
    <w:p w:rsidR="00E27D57" w:rsidRDefault="00E27D57" w:rsidP="00E27D57">
      <w:pPr>
        <w:pStyle w:val="Kop1"/>
        <w:numPr>
          <w:ilvl w:val="0"/>
          <w:numId w:val="0"/>
        </w:numPr>
        <w:pBdr>
          <w:bottom w:val="single" w:sz="12" w:space="1" w:color="auto"/>
        </w:pBdr>
        <w:spacing w:line="280" w:lineRule="exact"/>
        <w:rPr>
          <w:rFonts w:cs="Arial"/>
          <w:b w:val="0"/>
        </w:rPr>
      </w:pPr>
    </w:p>
    <w:p w:rsidR="00E27D57" w:rsidRPr="00C27BD6" w:rsidRDefault="00E27D57" w:rsidP="00E27D57">
      <w:pPr>
        <w:spacing w:line="280" w:lineRule="exact"/>
        <w:rPr>
          <w:rFonts w:cs="Arial"/>
          <w:sz w:val="16"/>
          <w:szCs w:val="16"/>
        </w:rPr>
      </w:pPr>
      <w:r w:rsidRPr="00C27BD6">
        <w:rPr>
          <w:rFonts w:cs="Arial"/>
          <w:sz w:val="16"/>
          <w:szCs w:val="16"/>
        </w:rPr>
        <w:t xml:space="preserve">Betreft: </w:t>
      </w:r>
      <w:r>
        <w:rPr>
          <w:rFonts w:cs="Arial"/>
          <w:sz w:val="16"/>
          <w:szCs w:val="16"/>
        </w:rPr>
        <w:t>Beleidsregel ‘Categorisering evenementenvergunningen</w:t>
      </w:r>
    </w:p>
    <w:p w:rsidR="00E27D57" w:rsidRPr="00C27BD6" w:rsidRDefault="00E27D57" w:rsidP="00E27D57">
      <w:pPr>
        <w:spacing w:line="280" w:lineRule="exact"/>
        <w:rPr>
          <w:rFonts w:cs="Arial"/>
          <w:sz w:val="16"/>
          <w:szCs w:val="16"/>
        </w:rPr>
      </w:pPr>
      <w:r w:rsidRPr="00C27BD6">
        <w:rPr>
          <w:rFonts w:cs="Arial"/>
          <w:sz w:val="16"/>
          <w:szCs w:val="16"/>
        </w:rPr>
        <w:t xml:space="preserve">Vastgesteld: </w:t>
      </w:r>
    </w:p>
    <w:p w:rsidR="00E27D57" w:rsidRPr="00C27BD6" w:rsidRDefault="00E27D57" w:rsidP="00E27D57">
      <w:pPr>
        <w:spacing w:line="280" w:lineRule="exact"/>
        <w:rPr>
          <w:rFonts w:cs="Arial"/>
          <w:sz w:val="16"/>
          <w:szCs w:val="16"/>
        </w:rPr>
      </w:pPr>
      <w:r w:rsidRPr="00C27BD6">
        <w:rPr>
          <w:rFonts w:cs="Arial"/>
          <w:sz w:val="16"/>
          <w:szCs w:val="16"/>
        </w:rPr>
        <w:t xml:space="preserve">Datum bekendmaking: </w:t>
      </w:r>
    </w:p>
    <w:p w:rsidR="00E27D57" w:rsidRPr="00C27BD6" w:rsidRDefault="00E27D57" w:rsidP="00E27D57">
      <w:pPr>
        <w:spacing w:line="280" w:lineRule="exact"/>
        <w:rPr>
          <w:rFonts w:cs="Arial"/>
          <w:sz w:val="16"/>
          <w:szCs w:val="16"/>
        </w:rPr>
      </w:pPr>
      <w:r w:rsidRPr="00C27BD6">
        <w:rPr>
          <w:rFonts w:cs="Arial"/>
          <w:sz w:val="16"/>
          <w:szCs w:val="16"/>
        </w:rPr>
        <w:t xml:space="preserve">Treedt in werking: </w:t>
      </w:r>
    </w:p>
    <w:p w:rsidR="00E27D57" w:rsidRPr="00C27BD6" w:rsidRDefault="00E27D57" w:rsidP="00E27D57">
      <w:pPr>
        <w:pBdr>
          <w:bottom w:val="single" w:sz="12" w:space="1" w:color="auto"/>
        </w:pBdr>
        <w:rPr>
          <w:rFonts w:cs="Arial"/>
        </w:rPr>
      </w:pPr>
      <w:r w:rsidRPr="00C27BD6">
        <w:rPr>
          <w:rFonts w:cs="Arial"/>
          <w:sz w:val="16"/>
          <w:szCs w:val="16"/>
        </w:rPr>
        <w:t xml:space="preserve">Wettelijke basis: </w:t>
      </w:r>
      <w:r>
        <w:rPr>
          <w:rFonts w:cs="Arial"/>
          <w:sz w:val="16"/>
          <w:szCs w:val="16"/>
        </w:rPr>
        <w:t>Artikel 2:</w:t>
      </w:r>
      <w:r>
        <w:rPr>
          <w:rFonts w:cs="Arial"/>
          <w:sz w:val="16"/>
          <w:szCs w:val="16"/>
        </w:rPr>
        <w:t>25, lid 9</w:t>
      </w:r>
      <w:r>
        <w:rPr>
          <w:rFonts w:cs="Arial"/>
          <w:sz w:val="16"/>
          <w:szCs w:val="16"/>
        </w:rPr>
        <w:t xml:space="preserve"> van de </w:t>
      </w:r>
      <w:r w:rsidRPr="00C27BD6">
        <w:rPr>
          <w:rFonts w:cs="Arial"/>
          <w:sz w:val="16"/>
          <w:szCs w:val="16"/>
        </w:rPr>
        <w:t>Algeme</w:t>
      </w:r>
      <w:r>
        <w:rPr>
          <w:rFonts w:cs="Arial"/>
          <w:sz w:val="16"/>
          <w:szCs w:val="16"/>
        </w:rPr>
        <w:t>ne Plaatselijke Verordening</w:t>
      </w:r>
    </w:p>
    <w:p w:rsidR="00E27D57" w:rsidRDefault="00E27D57"/>
    <w:p w:rsidR="00271CC8" w:rsidRPr="00E27D57" w:rsidRDefault="00707654">
      <w:pPr>
        <w:rPr>
          <w:b/>
        </w:rPr>
      </w:pPr>
      <w:r w:rsidRPr="00E27D57">
        <w:rPr>
          <w:b/>
        </w:rPr>
        <w:t>Beleidsregel categorisering evenementenvergunning</w:t>
      </w:r>
      <w:r w:rsidR="00E27D57" w:rsidRPr="00E27D57">
        <w:rPr>
          <w:b/>
        </w:rPr>
        <w:t>en</w:t>
      </w:r>
    </w:p>
    <w:tbl>
      <w:tblPr>
        <w:tblStyle w:val="Tabelraster"/>
        <w:tblpPr w:leftFromText="141" w:rightFromText="141" w:vertAnchor="text" w:horzAnchor="margin" w:tblpXSpec="center" w:tblpY="197"/>
        <w:tblW w:w="13677" w:type="dxa"/>
        <w:tblLayout w:type="fixed"/>
        <w:tblLook w:val="04A0" w:firstRow="1" w:lastRow="0" w:firstColumn="1" w:lastColumn="0" w:noHBand="0" w:noVBand="1"/>
      </w:tblPr>
      <w:tblGrid>
        <w:gridCol w:w="3652"/>
        <w:gridCol w:w="3402"/>
        <w:gridCol w:w="3222"/>
        <w:gridCol w:w="3401"/>
      </w:tblGrid>
      <w:tr w:rsidR="00AC5799" w:rsidRPr="004A4635" w:rsidTr="00E27D57">
        <w:trPr>
          <w:trHeight w:val="416"/>
        </w:trPr>
        <w:tc>
          <w:tcPr>
            <w:tcW w:w="3652" w:type="dxa"/>
          </w:tcPr>
          <w:p w:rsidR="00AC5799" w:rsidRPr="00FA2108" w:rsidRDefault="00AC5799" w:rsidP="00E27D57">
            <w:pPr>
              <w:ind w:left="-284"/>
            </w:pPr>
          </w:p>
        </w:tc>
        <w:tc>
          <w:tcPr>
            <w:tcW w:w="3402" w:type="dxa"/>
          </w:tcPr>
          <w:p w:rsidR="00AC5799" w:rsidRPr="00D5472B" w:rsidRDefault="00AC5799" w:rsidP="00E92BD8">
            <w:pPr>
              <w:rPr>
                <w:b/>
              </w:rPr>
            </w:pPr>
            <w:r>
              <w:rPr>
                <w:b/>
              </w:rPr>
              <w:t>K</w:t>
            </w:r>
            <w:r w:rsidRPr="00065CFE">
              <w:rPr>
                <w:b/>
              </w:rPr>
              <w:t>lein</w:t>
            </w:r>
          </w:p>
        </w:tc>
        <w:tc>
          <w:tcPr>
            <w:tcW w:w="3222" w:type="dxa"/>
          </w:tcPr>
          <w:p w:rsidR="00AC5799" w:rsidRPr="00065CFE" w:rsidRDefault="00AC5799" w:rsidP="00CB0AB5">
            <w:pPr>
              <w:rPr>
                <w:b/>
              </w:rPr>
            </w:pPr>
            <w:r>
              <w:rPr>
                <w:b/>
              </w:rPr>
              <w:t>M</w:t>
            </w:r>
            <w:r w:rsidRPr="00065CFE">
              <w:rPr>
                <w:b/>
              </w:rPr>
              <w:t>iddelgroo</w:t>
            </w:r>
            <w:r>
              <w:rPr>
                <w:b/>
              </w:rPr>
              <w:t>t</w:t>
            </w:r>
          </w:p>
        </w:tc>
        <w:tc>
          <w:tcPr>
            <w:tcW w:w="3401" w:type="dxa"/>
          </w:tcPr>
          <w:p w:rsidR="00AC5799" w:rsidRPr="00D5472B" w:rsidRDefault="00AC5799" w:rsidP="003B4AF8">
            <w:pPr>
              <w:rPr>
                <w:b/>
              </w:rPr>
            </w:pPr>
            <w:r w:rsidRPr="00D5472B">
              <w:rPr>
                <w:b/>
              </w:rPr>
              <w:t>Groot</w:t>
            </w:r>
          </w:p>
        </w:tc>
      </w:tr>
      <w:tr w:rsidR="00AC5799" w:rsidRPr="004A4635" w:rsidTr="00E27D57">
        <w:trPr>
          <w:trHeight w:val="565"/>
        </w:trPr>
        <w:tc>
          <w:tcPr>
            <w:tcW w:w="3652" w:type="dxa"/>
          </w:tcPr>
          <w:p w:rsidR="00AC5799" w:rsidRPr="009831F4" w:rsidRDefault="00AC5799" w:rsidP="00453B3F">
            <w:pPr>
              <w:rPr>
                <w:b/>
                <w:sz w:val="16"/>
                <w:szCs w:val="16"/>
              </w:rPr>
            </w:pPr>
            <w:r w:rsidRPr="009831F4">
              <w:rPr>
                <w:b/>
                <w:sz w:val="16"/>
                <w:szCs w:val="16"/>
              </w:rPr>
              <w:t>Aantal personen</w:t>
            </w:r>
            <w:r>
              <w:rPr>
                <w:b/>
                <w:sz w:val="16"/>
                <w:szCs w:val="16"/>
              </w:rPr>
              <w:t xml:space="preserve"> </w:t>
            </w:r>
            <w:r w:rsidRPr="009831F4">
              <w:rPr>
                <w:sz w:val="16"/>
                <w:szCs w:val="16"/>
              </w:rPr>
              <w:t>(deelnemers, publiek, personeel)</w:t>
            </w:r>
          </w:p>
        </w:tc>
        <w:tc>
          <w:tcPr>
            <w:tcW w:w="3402" w:type="dxa"/>
          </w:tcPr>
          <w:p w:rsidR="00AC5799" w:rsidRPr="009831F4" w:rsidRDefault="00AC5799" w:rsidP="00794E01">
            <w:pPr>
              <w:rPr>
                <w:sz w:val="16"/>
                <w:szCs w:val="16"/>
              </w:rPr>
            </w:pPr>
            <w:r w:rsidRPr="009831F4">
              <w:rPr>
                <w:sz w:val="16"/>
                <w:szCs w:val="16"/>
              </w:rPr>
              <w:t xml:space="preserve">Minder dan 500 personen </w:t>
            </w:r>
            <w:r w:rsidRPr="009831F4">
              <w:rPr>
                <w:sz w:val="16"/>
                <w:szCs w:val="16"/>
                <w:u w:val="single"/>
              </w:rPr>
              <w:t>tegelijkertijd</w:t>
            </w:r>
            <w:r w:rsidRPr="009831F4">
              <w:rPr>
                <w:sz w:val="16"/>
                <w:szCs w:val="16"/>
              </w:rPr>
              <w:t xml:space="preserve"> aanwezig</w:t>
            </w:r>
          </w:p>
        </w:tc>
        <w:tc>
          <w:tcPr>
            <w:tcW w:w="3222" w:type="dxa"/>
          </w:tcPr>
          <w:p w:rsidR="00AC5799" w:rsidRPr="009831F4" w:rsidRDefault="00AC5799" w:rsidP="007C780E">
            <w:pPr>
              <w:rPr>
                <w:sz w:val="16"/>
                <w:szCs w:val="16"/>
              </w:rPr>
            </w:pPr>
            <w:r w:rsidRPr="009831F4">
              <w:rPr>
                <w:sz w:val="16"/>
                <w:szCs w:val="16"/>
              </w:rPr>
              <w:t>Minder dan 1</w:t>
            </w:r>
            <w:r>
              <w:rPr>
                <w:sz w:val="16"/>
                <w:szCs w:val="16"/>
              </w:rPr>
              <w:t>.</w:t>
            </w:r>
            <w:r w:rsidRPr="009831F4">
              <w:rPr>
                <w:sz w:val="16"/>
                <w:szCs w:val="16"/>
              </w:rPr>
              <w:t xml:space="preserve">500 personen </w:t>
            </w:r>
            <w:r w:rsidRPr="009831F4">
              <w:rPr>
                <w:sz w:val="16"/>
                <w:szCs w:val="16"/>
                <w:u w:val="single"/>
              </w:rPr>
              <w:t>tegelijkertijd</w:t>
            </w:r>
            <w:r w:rsidRPr="009831F4">
              <w:rPr>
                <w:sz w:val="16"/>
                <w:szCs w:val="16"/>
              </w:rPr>
              <w:t xml:space="preserve"> aanwezig</w:t>
            </w:r>
          </w:p>
        </w:tc>
        <w:tc>
          <w:tcPr>
            <w:tcW w:w="3401" w:type="dxa"/>
          </w:tcPr>
          <w:p w:rsidR="00AC5799" w:rsidRPr="007E2D60" w:rsidRDefault="00AC5799" w:rsidP="00E92BD8">
            <w:pPr>
              <w:rPr>
                <w:sz w:val="16"/>
                <w:szCs w:val="16"/>
              </w:rPr>
            </w:pPr>
            <w:r>
              <w:rPr>
                <w:sz w:val="16"/>
                <w:szCs w:val="16"/>
              </w:rPr>
              <w:t xml:space="preserve">Meer dan 1.500 personen </w:t>
            </w:r>
            <w:r>
              <w:rPr>
                <w:sz w:val="16"/>
                <w:szCs w:val="16"/>
                <w:u w:val="single"/>
              </w:rPr>
              <w:t>tegelijkertijd</w:t>
            </w:r>
            <w:r>
              <w:rPr>
                <w:sz w:val="16"/>
                <w:szCs w:val="16"/>
              </w:rPr>
              <w:t xml:space="preserve"> aanwezig</w:t>
            </w:r>
          </w:p>
        </w:tc>
      </w:tr>
      <w:tr w:rsidR="00AC5799" w:rsidRPr="004A4635" w:rsidTr="00E27D57">
        <w:trPr>
          <w:trHeight w:val="126"/>
        </w:trPr>
        <w:tc>
          <w:tcPr>
            <w:tcW w:w="3652" w:type="dxa"/>
          </w:tcPr>
          <w:p w:rsidR="00AC5799" w:rsidRPr="009831F4" w:rsidRDefault="00AC5799" w:rsidP="00E92BD8">
            <w:pPr>
              <w:rPr>
                <w:b/>
                <w:sz w:val="16"/>
                <w:szCs w:val="16"/>
              </w:rPr>
            </w:pPr>
            <w:r w:rsidRPr="009831F4">
              <w:rPr>
                <w:b/>
                <w:sz w:val="16"/>
                <w:szCs w:val="16"/>
              </w:rPr>
              <w:t>Inzet hulpdiensten</w:t>
            </w:r>
          </w:p>
        </w:tc>
        <w:tc>
          <w:tcPr>
            <w:tcW w:w="3402" w:type="dxa"/>
          </w:tcPr>
          <w:p w:rsidR="00AC5799" w:rsidRPr="009831F4" w:rsidRDefault="00AC5799" w:rsidP="00E92BD8">
            <w:pPr>
              <w:rPr>
                <w:sz w:val="16"/>
                <w:szCs w:val="16"/>
              </w:rPr>
            </w:pPr>
            <w:r w:rsidRPr="009831F4">
              <w:rPr>
                <w:sz w:val="16"/>
                <w:szCs w:val="16"/>
              </w:rPr>
              <w:t>Geen inzet van hulpdiensten</w:t>
            </w:r>
          </w:p>
        </w:tc>
        <w:tc>
          <w:tcPr>
            <w:tcW w:w="3222" w:type="dxa"/>
          </w:tcPr>
          <w:p w:rsidR="00AC5799" w:rsidRPr="009831F4" w:rsidRDefault="00AC5799" w:rsidP="00E92BD8">
            <w:pPr>
              <w:rPr>
                <w:sz w:val="16"/>
                <w:szCs w:val="16"/>
              </w:rPr>
            </w:pPr>
            <w:r>
              <w:rPr>
                <w:sz w:val="16"/>
                <w:szCs w:val="16"/>
              </w:rPr>
              <w:t>Reguliere</w:t>
            </w:r>
            <w:r w:rsidRPr="009831F4">
              <w:rPr>
                <w:sz w:val="16"/>
                <w:szCs w:val="16"/>
              </w:rPr>
              <w:t xml:space="preserve"> inzet van hulpdiensten</w:t>
            </w:r>
          </w:p>
        </w:tc>
        <w:tc>
          <w:tcPr>
            <w:tcW w:w="3401" w:type="dxa"/>
          </w:tcPr>
          <w:p w:rsidR="00AC5799" w:rsidRPr="007E2D60" w:rsidRDefault="00AC5799" w:rsidP="00E92BD8">
            <w:pPr>
              <w:rPr>
                <w:sz w:val="16"/>
                <w:szCs w:val="16"/>
              </w:rPr>
            </w:pPr>
            <w:r>
              <w:rPr>
                <w:sz w:val="16"/>
                <w:szCs w:val="16"/>
              </w:rPr>
              <w:t>Meer dan reguliere inzet van hulpdiensten</w:t>
            </w:r>
          </w:p>
        </w:tc>
      </w:tr>
      <w:tr w:rsidR="00AC5799" w:rsidRPr="004A4635" w:rsidTr="00E27D57">
        <w:trPr>
          <w:trHeight w:val="612"/>
        </w:trPr>
        <w:tc>
          <w:tcPr>
            <w:tcW w:w="3652" w:type="dxa"/>
          </w:tcPr>
          <w:p w:rsidR="00AC5799" w:rsidRPr="009831F4" w:rsidRDefault="00AC5799" w:rsidP="00E92BD8">
            <w:pPr>
              <w:rPr>
                <w:b/>
                <w:sz w:val="16"/>
                <w:szCs w:val="16"/>
              </w:rPr>
            </w:pPr>
            <w:r w:rsidRPr="009831F4">
              <w:rPr>
                <w:b/>
                <w:sz w:val="16"/>
                <w:szCs w:val="16"/>
              </w:rPr>
              <w:t>Verkeersmaatregelen</w:t>
            </w:r>
          </w:p>
        </w:tc>
        <w:tc>
          <w:tcPr>
            <w:tcW w:w="3402" w:type="dxa"/>
          </w:tcPr>
          <w:p w:rsidR="00AC5799" w:rsidRPr="009831F4" w:rsidRDefault="00AC5799" w:rsidP="00E03948">
            <w:pPr>
              <w:rPr>
                <w:sz w:val="16"/>
                <w:szCs w:val="16"/>
              </w:rPr>
            </w:pPr>
            <w:r w:rsidRPr="009831F4">
              <w:rPr>
                <w:sz w:val="16"/>
                <w:szCs w:val="16"/>
              </w:rPr>
              <w:t xml:space="preserve">Geen afzettingen / geen tijdelijke verkeersmaatregelen </w:t>
            </w:r>
          </w:p>
        </w:tc>
        <w:tc>
          <w:tcPr>
            <w:tcW w:w="3222" w:type="dxa"/>
          </w:tcPr>
          <w:p w:rsidR="00AC5799" w:rsidRPr="009831F4" w:rsidRDefault="00AC5799" w:rsidP="00E03948">
            <w:pPr>
              <w:rPr>
                <w:sz w:val="16"/>
                <w:szCs w:val="16"/>
              </w:rPr>
            </w:pPr>
            <w:r w:rsidRPr="009831F4">
              <w:rPr>
                <w:sz w:val="16"/>
                <w:szCs w:val="16"/>
              </w:rPr>
              <w:t xml:space="preserve">Afzettingen / tijdelijke verkeersmaatregelen </w:t>
            </w:r>
          </w:p>
        </w:tc>
        <w:tc>
          <w:tcPr>
            <w:tcW w:w="3401" w:type="dxa"/>
          </w:tcPr>
          <w:p w:rsidR="00AC5799" w:rsidRPr="007E2D60" w:rsidRDefault="00AC5799" w:rsidP="00E92BD8">
            <w:pPr>
              <w:rPr>
                <w:sz w:val="16"/>
                <w:szCs w:val="16"/>
              </w:rPr>
            </w:pPr>
          </w:p>
        </w:tc>
      </w:tr>
      <w:tr w:rsidR="00AC5799" w:rsidRPr="004A4635" w:rsidTr="00E27D57">
        <w:trPr>
          <w:trHeight w:val="126"/>
        </w:trPr>
        <w:tc>
          <w:tcPr>
            <w:tcW w:w="3652" w:type="dxa"/>
          </w:tcPr>
          <w:p w:rsidR="00AC5799" w:rsidRPr="009831F4" w:rsidRDefault="00AC5799" w:rsidP="00E92BD8">
            <w:pPr>
              <w:rPr>
                <w:b/>
                <w:sz w:val="16"/>
                <w:szCs w:val="16"/>
              </w:rPr>
            </w:pPr>
            <w:r w:rsidRPr="009831F4">
              <w:rPr>
                <w:b/>
                <w:sz w:val="16"/>
                <w:szCs w:val="16"/>
              </w:rPr>
              <w:t>Tenten</w:t>
            </w:r>
          </w:p>
        </w:tc>
        <w:tc>
          <w:tcPr>
            <w:tcW w:w="3402" w:type="dxa"/>
          </w:tcPr>
          <w:p w:rsidR="00AC5799" w:rsidRPr="009831F4" w:rsidRDefault="00AC5799" w:rsidP="005240B9">
            <w:pPr>
              <w:rPr>
                <w:sz w:val="16"/>
                <w:szCs w:val="16"/>
              </w:rPr>
            </w:pPr>
            <w:r w:rsidRPr="009831F4">
              <w:rPr>
                <w:sz w:val="16"/>
                <w:szCs w:val="16"/>
              </w:rPr>
              <w:t>Bouwwerken, gesloten tenten &lt;  50 m² en toegankelijk voor maximaal 50 personen</w:t>
            </w:r>
          </w:p>
        </w:tc>
        <w:tc>
          <w:tcPr>
            <w:tcW w:w="3222" w:type="dxa"/>
          </w:tcPr>
          <w:p w:rsidR="00AC5799" w:rsidRPr="009831F4" w:rsidRDefault="00AC5799" w:rsidP="00E92BD8">
            <w:pPr>
              <w:rPr>
                <w:sz w:val="16"/>
                <w:szCs w:val="16"/>
              </w:rPr>
            </w:pPr>
            <w:r w:rsidRPr="009831F4">
              <w:rPr>
                <w:sz w:val="16"/>
                <w:szCs w:val="16"/>
              </w:rPr>
              <w:t xml:space="preserve">Bouwwerken, tenten &gt; 50 m² </w:t>
            </w:r>
            <w:r w:rsidRPr="009831F4">
              <w:rPr>
                <w:color w:val="FF0000"/>
                <w:sz w:val="16"/>
                <w:szCs w:val="16"/>
              </w:rPr>
              <w:t xml:space="preserve"> </w:t>
            </w:r>
          </w:p>
        </w:tc>
        <w:tc>
          <w:tcPr>
            <w:tcW w:w="3401" w:type="dxa"/>
          </w:tcPr>
          <w:p w:rsidR="00AC5799" w:rsidRPr="007E2D60" w:rsidRDefault="00AC5799" w:rsidP="00E92BD8">
            <w:pPr>
              <w:rPr>
                <w:sz w:val="16"/>
                <w:szCs w:val="16"/>
              </w:rPr>
            </w:pPr>
          </w:p>
        </w:tc>
      </w:tr>
      <w:tr w:rsidR="00AC5799" w:rsidRPr="004A4635" w:rsidTr="00E27D57">
        <w:trPr>
          <w:trHeight w:val="126"/>
        </w:trPr>
        <w:tc>
          <w:tcPr>
            <w:tcW w:w="3652" w:type="dxa"/>
          </w:tcPr>
          <w:p w:rsidR="00AC5799" w:rsidRPr="009831F4" w:rsidRDefault="00AC5799" w:rsidP="00453B3F">
            <w:pPr>
              <w:rPr>
                <w:b/>
                <w:sz w:val="16"/>
                <w:szCs w:val="16"/>
              </w:rPr>
            </w:pPr>
            <w:r w:rsidRPr="009831F4">
              <w:rPr>
                <w:b/>
                <w:sz w:val="16"/>
                <w:szCs w:val="16"/>
              </w:rPr>
              <w:t>Constructies</w:t>
            </w:r>
            <w:r>
              <w:rPr>
                <w:b/>
                <w:sz w:val="16"/>
                <w:szCs w:val="16"/>
              </w:rPr>
              <w:t xml:space="preserve"> </w:t>
            </w:r>
            <w:r w:rsidRPr="009831F4">
              <w:rPr>
                <w:sz w:val="16"/>
                <w:szCs w:val="16"/>
              </w:rPr>
              <w:t>(zoals tribune</w:t>
            </w:r>
            <w:r>
              <w:rPr>
                <w:sz w:val="16"/>
                <w:szCs w:val="16"/>
              </w:rPr>
              <w:t>, podium</w:t>
            </w:r>
            <w:r w:rsidRPr="009831F4">
              <w:rPr>
                <w:sz w:val="16"/>
                <w:szCs w:val="16"/>
              </w:rPr>
              <w:t xml:space="preserve"> of constructie t.b.v. het plaatsen van </w:t>
            </w:r>
            <w:proofErr w:type="spellStart"/>
            <w:r w:rsidRPr="009831F4">
              <w:rPr>
                <w:sz w:val="16"/>
                <w:szCs w:val="16"/>
              </w:rPr>
              <w:t>ledschermen</w:t>
            </w:r>
            <w:proofErr w:type="spellEnd"/>
            <w:r w:rsidRPr="009831F4">
              <w:rPr>
                <w:sz w:val="16"/>
                <w:szCs w:val="16"/>
              </w:rPr>
              <w:t>)</w:t>
            </w:r>
          </w:p>
        </w:tc>
        <w:tc>
          <w:tcPr>
            <w:tcW w:w="3402" w:type="dxa"/>
          </w:tcPr>
          <w:p w:rsidR="00AC5799" w:rsidRPr="009831F4" w:rsidRDefault="00AC5799" w:rsidP="00453B3F">
            <w:pPr>
              <w:rPr>
                <w:sz w:val="16"/>
                <w:szCs w:val="16"/>
              </w:rPr>
            </w:pPr>
            <w:r w:rsidRPr="009831F4">
              <w:rPr>
                <w:sz w:val="16"/>
                <w:szCs w:val="16"/>
              </w:rPr>
              <w:t xml:space="preserve">Geen constructies </w:t>
            </w:r>
          </w:p>
        </w:tc>
        <w:tc>
          <w:tcPr>
            <w:tcW w:w="3222" w:type="dxa"/>
          </w:tcPr>
          <w:p w:rsidR="00AC5799" w:rsidRPr="009831F4" w:rsidRDefault="00AC5799" w:rsidP="00453B3F">
            <w:pPr>
              <w:rPr>
                <w:sz w:val="16"/>
                <w:szCs w:val="16"/>
              </w:rPr>
            </w:pPr>
            <w:r>
              <w:rPr>
                <w:sz w:val="16"/>
                <w:szCs w:val="16"/>
              </w:rPr>
              <w:t>Wel</w:t>
            </w:r>
            <w:r w:rsidRPr="009831F4">
              <w:rPr>
                <w:sz w:val="16"/>
                <w:szCs w:val="16"/>
              </w:rPr>
              <w:t xml:space="preserve"> constructie</w:t>
            </w:r>
            <w:r>
              <w:rPr>
                <w:sz w:val="16"/>
                <w:szCs w:val="16"/>
              </w:rPr>
              <w:t>s</w:t>
            </w:r>
          </w:p>
        </w:tc>
        <w:tc>
          <w:tcPr>
            <w:tcW w:w="3401" w:type="dxa"/>
          </w:tcPr>
          <w:p w:rsidR="00AC5799" w:rsidRPr="007E2D60" w:rsidRDefault="00AC5799" w:rsidP="00E92BD8">
            <w:pPr>
              <w:rPr>
                <w:color w:val="FF0000"/>
                <w:sz w:val="16"/>
                <w:szCs w:val="16"/>
              </w:rPr>
            </w:pPr>
          </w:p>
        </w:tc>
      </w:tr>
      <w:tr w:rsidR="00AC5799" w:rsidRPr="004A4635" w:rsidTr="00E27D57">
        <w:trPr>
          <w:trHeight w:val="126"/>
        </w:trPr>
        <w:tc>
          <w:tcPr>
            <w:tcW w:w="3652" w:type="dxa"/>
          </w:tcPr>
          <w:p w:rsidR="00AC5799" w:rsidRPr="009831F4" w:rsidRDefault="00AC5799" w:rsidP="00453B3F">
            <w:pPr>
              <w:rPr>
                <w:b/>
                <w:sz w:val="16"/>
                <w:szCs w:val="16"/>
              </w:rPr>
            </w:pPr>
            <w:r w:rsidRPr="009831F4">
              <w:rPr>
                <w:b/>
                <w:sz w:val="16"/>
                <w:szCs w:val="16"/>
              </w:rPr>
              <w:t xml:space="preserve">Kramen </w:t>
            </w:r>
            <w:r w:rsidRPr="009831F4">
              <w:rPr>
                <w:sz w:val="16"/>
                <w:szCs w:val="16"/>
              </w:rPr>
              <w:t>(waarbij een kraam een maximale afmeting heeft van 4x1 meter)</w:t>
            </w:r>
          </w:p>
        </w:tc>
        <w:tc>
          <w:tcPr>
            <w:tcW w:w="3402" w:type="dxa"/>
          </w:tcPr>
          <w:p w:rsidR="00AC5799" w:rsidRPr="009831F4" w:rsidRDefault="00AC5799" w:rsidP="00794E01">
            <w:pPr>
              <w:rPr>
                <w:sz w:val="16"/>
                <w:szCs w:val="16"/>
              </w:rPr>
            </w:pPr>
            <w:r w:rsidRPr="009831F4">
              <w:rPr>
                <w:sz w:val="16"/>
                <w:szCs w:val="16"/>
              </w:rPr>
              <w:t>Minder dan 50 kramen</w:t>
            </w:r>
          </w:p>
        </w:tc>
        <w:tc>
          <w:tcPr>
            <w:tcW w:w="3222" w:type="dxa"/>
          </w:tcPr>
          <w:p w:rsidR="00AC5799" w:rsidRPr="009831F4" w:rsidRDefault="00AC5799" w:rsidP="00E92BD8">
            <w:pPr>
              <w:rPr>
                <w:sz w:val="16"/>
                <w:szCs w:val="16"/>
              </w:rPr>
            </w:pPr>
            <w:r w:rsidRPr="009831F4">
              <w:rPr>
                <w:sz w:val="16"/>
                <w:szCs w:val="16"/>
              </w:rPr>
              <w:t>Minder dan 100 kramen</w:t>
            </w:r>
            <w:r w:rsidRPr="009831F4">
              <w:rPr>
                <w:color w:val="FF0000"/>
                <w:sz w:val="16"/>
                <w:szCs w:val="16"/>
              </w:rPr>
              <w:t xml:space="preserve"> </w:t>
            </w:r>
          </w:p>
          <w:p w:rsidR="00AC5799" w:rsidRPr="009831F4" w:rsidRDefault="00AC5799" w:rsidP="00E92BD8">
            <w:pPr>
              <w:rPr>
                <w:sz w:val="16"/>
                <w:szCs w:val="16"/>
              </w:rPr>
            </w:pPr>
          </w:p>
        </w:tc>
        <w:tc>
          <w:tcPr>
            <w:tcW w:w="3401" w:type="dxa"/>
          </w:tcPr>
          <w:p w:rsidR="00AC5799" w:rsidRPr="007E2D60" w:rsidRDefault="00AC5799" w:rsidP="00E92BD8">
            <w:pPr>
              <w:rPr>
                <w:sz w:val="16"/>
                <w:szCs w:val="16"/>
              </w:rPr>
            </w:pPr>
            <w:r>
              <w:rPr>
                <w:sz w:val="16"/>
                <w:szCs w:val="16"/>
              </w:rPr>
              <w:t>Meer dan 100 kramen</w:t>
            </w:r>
          </w:p>
        </w:tc>
      </w:tr>
    </w:tbl>
    <w:p w:rsidR="00C62BBA" w:rsidRDefault="00C62BBA">
      <w:pPr>
        <w:rPr>
          <w:b/>
        </w:rPr>
      </w:pPr>
    </w:p>
    <w:p w:rsidR="00FA2108" w:rsidRPr="00C62BBA" w:rsidRDefault="00FA2108" w:rsidP="00C62BBA">
      <w:r>
        <w:t xml:space="preserve">Om te bepalen in welke categorie een evenement valt, is het </w:t>
      </w:r>
      <w:r w:rsidR="004D5797">
        <w:t>criterium in de hoogste categorie bepalend. Een aanvraag kan namelijk per criterium in een andere categorie vallen. De aanvraag valt dan uiteindelijk in de categorie met het hoogste criterium. Voorbeeld: een aanvraag voldoet voor alle criteria aan die van een klein evenement, behalve wat betreft het aantal personen dat tegelijkertijd aanwezig is. Dit zijn er namelijk 750 en voor een klein evenement moeten dit er minder dan 500 zijn. Door dit criterium valt de aanvraa</w:t>
      </w:r>
      <w:bookmarkStart w:id="0" w:name="_GoBack"/>
      <w:bookmarkEnd w:id="0"/>
      <w:r w:rsidR="004D5797">
        <w:t>g in de categorie middelgroot en is dit de categorie met het hoogste criterium.</w:t>
      </w:r>
    </w:p>
    <w:sectPr w:rsidR="00FA2108" w:rsidRPr="00C62BBA" w:rsidSect="00E92B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7A" w:rsidRDefault="00E2567A" w:rsidP="00D6089C">
      <w:pPr>
        <w:spacing w:line="240" w:lineRule="auto"/>
      </w:pPr>
      <w:r>
        <w:separator/>
      </w:r>
    </w:p>
  </w:endnote>
  <w:endnote w:type="continuationSeparator" w:id="0">
    <w:p w:rsidR="00E2567A" w:rsidRDefault="00E2567A" w:rsidP="00D60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7A" w:rsidRDefault="00E2567A" w:rsidP="00D6089C">
      <w:pPr>
        <w:spacing w:line="240" w:lineRule="auto"/>
      </w:pPr>
      <w:r>
        <w:separator/>
      </w:r>
    </w:p>
  </w:footnote>
  <w:footnote w:type="continuationSeparator" w:id="0">
    <w:p w:rsidR="00E2567A" w:rsidRDefault="00E2567A" w:rsidP="00D608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D0FA3"/>
    <w:multiLevelType w:val="hybridMultilevel"/>
    <w:tmpl w:val="A6FEFEDA"/>
    <w:lvl w:ilvl="0" w:tplc="633EBDC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9C"/>
    <w:rsid w:val="000D0429"/>
    <w:rsid w:val="00100B12"/>
    <w:rsid w:val="001C2525"/>
    <w:rsid w:val="001D6319"/>
    <w:rsid w:val="0023656B"/>
    <w:rsid w:val="002607DD"/>
    <w:rsid w:val="00271CC8"/>
    <w:rsid w:val="00275747"/>
    <w:rsid w:val="00332F57"/>
    <w:rsid w:val="00344222"/>
    <w:rsid w:val="0035579A"/>
    <w:rsid w:val="003B4AF8"/>
    <w:rsid w:val="0042545C"/>
    <w:rsid w:val="00453B3F"/>
    <w:rsid w:val="004D5797"/>
    <w:rsid w:val="00522872"/>
    <w:rsid w:val="005240B9"/>
    <w:rsid w:val="00583647"/>
    <w:rsid w:val="00707654"/>
    <w:rsid w:val="00712882"/>
    <w:rsid w:val="00757832"/>
    <w:rsid w:val="0077593D"/>
    <w:rsid w:val="00794E01"/>
    <w:rsid w:val="007C780E"/>
    <w:rsid w:val="007E2D60"/>
    <w:rsid w:val="007F15DB"/>
    <w:rsid w:val="009831F4"/>
    <w:rsid w:val="00991818"/>
    <w:rsid w:val="009C5DA2"/>
    <w:rsid w:val="009E1AA0"/>
    <w:rsid w:val="00A67D1A"/>
    <w:rsid w:val="00A72036"/>
    <w:rsid w:val="00AC5799"/>
    <w:rsid w:val="00B06AC6"/>
    <w:rsid w:val="00BD7B9E"/>
    <w:rsid w:val="00C51E72"/>
    <w:rsid w:val="00C62BBA"/>
    <w:rsid w:val="00CB0AB5"/>
    <w:rsid w:val="00D5472B"/>
    <w:rsid w:val="00D6089C"/>
    <w:rsid w:val="00DA146E"/>
    <w:rsid w:val="00DB74B5"/>
    <w:rsid w:val="00E03948"/>
    <w:rsid w:val="00E110E5"/>
    <w:rsid w:val="00E2567A"/>
    <w:rsid w:val="00E27D57"/>
    <w:rsid w:val="00E92BD8"/>
    <w:rsid w:val="00EE3F9E"/>
    <w:rsid w:val="00F339CE"/>
    <w:rsid w:val="00F41646"/>
    <w:rsid w:val="00FA2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2525"/>
    <w:pPr>
      <w:spacing w:line="280" w:lineRule="atLeast"/>
    </w:pPr>
    <w:rPr>
      <w:rFonts w:ascii="Arial" w:hAnsi="Arial"/>
    </w:rPr>
  </w:style>
  <w:style w:type="paragraph" w:styleId="Kop1">
    <w:name w:val="heading 1"/>
    <w:aliases w:val="Vet + inhoudsopg-niveau 1"/>
    <w:basedOn w:val="Standaard"/>
    <w:next w:val="Standaard"/>
    <w:link w:val="Kop1Char"/>
    <w:uiPriority w:val="9"/>
    <w:qFormat/>
    <w:rsid w:val="001C2525"/>
    <w:pPr>
      <w:keepNext/>
      <w:numPr>
        <w:numId w:val="6"/>
      </w:numPr>
      <w:spacing w:before="120"/>
      <w:outlineLvl w:val="0"/>
    </w:pPr>
    <w:rPr>
      <w:b/>
    </w:rPr>
  </w:style>
  <w:style w:type="paragraph" w:styleId="Kop2">
    <w:name w:val="heading 2"/>
    <w:aliases w:val="Vet + inhoudsopg-niveau 2"/>
    <w:basedOn w:val="Standaard"/>
    <w:next w:val="Standaard"/>
    <w:qFormat/>
    <w:rsid w:val="001C2525"/>
    <w:pPr>
      <w:keepNext/>
      <w:numPr>
        <w:ilvl w:val="1"/>
        <w:numId w:val="6"/>
      </w:numPr>
      <w:spacing w:before="120"/>
      <w:outlineLvl w:val="1"/>
    </w:pPr>
    <w:rPr>
      <w:b/>
    </w:rPr>
  </w:style>
  <w:style w:type="paragraph" w:styleId="Kop3">
    <w:name w:val="heading 3"/>
    <w:aliases w:val="Vet + inhoudsopg-niveau 3"/>
    <w:basedOn w:val="Standaard"/>
    <w:next w:val="Standaard"/>
    <w:qFormat/>
    <w:rsid w:val="001C2525"/>
    <w:pPr>
      <w:keepNext/>
      <w:numPr>
        <w:ilvl w:val="2"/>
        <w:numId w:val="6"/>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rsid w:val="001C2525"/>
    <w:pPr>
      <w:tabs>
        <w:tab w:val="center" w:pos="4536"/>
        <w:tab w:val="right" w:pos="9072"/>
      </w:tabs>
    </w:pPr>
  </w:style>
  <w:style w:type="table" w:styleId="Tabelraster">
    <w:name w:val="Table Grid"/>
    <w:basedOn w:val="Standaardtabel"/>
    <w:rsid w:val="00D60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rsid w:val="00D6089C"/>
    <w:pPr>
      <w:spacing w:line="240" w:lineRule="auto"/>
    </w:pPr>
  </w:style>
  <w:style w:type="character" w:customStyle="1" w:styleId="VoetnoottekstChar">
    <w:name w:val="Voetnoottekst Char"/>
    <w:basedOn w:val="Standaardalinea-lettertype"/>
    <w:link w:val="Voetnoottekst"/>
    <w:rsid w:val="00D6089C"/>
    <w:rPr>
      <w:rFonts w:ascii="Arial" w:hAnsi="Arial"/>
    </w:rPr>
  </w:style>
  <w:style w:type="character" w:styleId="Voetnootmarkering">
    <w:name w:val="footnote reference"/>
    <w:basedOn w:val="Standaardalinea-lettertype"/>
    <w:rsid w:val="00D6089C"/>
    <w:rPr>
      <w:vertAlign w:val="superscript"/>
    </w:rPr>
  </w:style>
  <w:style w:type="paragraph" w:styleId="Lijstalinea">
    <w:name w:val="List Paragraph"/>
    <w:basedOn w:val="Standaard"/>
    <w:uiPriority w:val="34"/>
    <w:qFormat/>
    <w:rsid w:val="00C62BBA"/>
    <w:pPr>
      <w:ind w:left="720"/>
      <w:contextualSpacing/>
    </w:pPr>
  </w:style>
  <w:style w:type="character" w:customStyle="1" w:styleId="Kop1Char">
    <w:name w:val="Kop 1 Char"/>
    <w:basedOn w:val="Standaardalinea-lettertype"/>
    <w:link w:val="Kop1"/>
    <w:uiPriority w:val="9"/>
    <w:rsid w:val="00E27D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2525"/>
    <w:pPr>
      <w:spacing w:line="280" w:lineRule="atLeast"/>
    </w:pPr>
    <w:rPr>
      <w:rFonts w:ascii="Arial" w:hAnsi="Arial"/>
    </w:rPr>
  </w:style>
  <w:style w:type="paragraph" w:styleId="Kop1">
    <w:name w:val="heading 1"/>
    <w:aliases w:val="Vet + inhoudsopg-niveau 1"/>
    <w:basedOn w:val="Standaard"/>
    <w:next w:val="Standaard"/>
    <w:link w:val="Kop1Char"/>
    <w:uiPriority w:val="9"/>
    <w:qFormat/>
    <w:rsid w:val="001C2525"/>
    <w:pPr>
      <w:keepNext/>
      <w:numPr>
        <w:numId w:val="6"/>
      </w:numPr>
      <w:spacing w:before="120"/>
      <w:outlineLvl w:val="0"/>
    </w:pPr>
    <w:rPr>
      <w:b/>
    </w:rPr>
  </w:style>
  <w:style w:type="paragraph" w:styleId="Kop2">
    <w:name w:val="heading 2"/>
    <w:aliases w:val="Vet + inhoudsopg-niveau 2"/>
    <w:basedOn w:val="Standaard"/>
    <w:next w:val="Standaard"/>
    <w:qFormat/>
    <w:rsid w:val="001C2525"/>
    <w:pPr>
      <w:keepNext/>
      <w:numPr>
        <w:ilvl w:val="1"/>
        <w:numId w:val="6"/>
      </w:numPr>
      <w:spacing w:before="120"/>
      <w:outlineLvl w:val="1"/>
    </w:pPr>
    <w:rPr>
      <w:b/>
    </w:rPr>
  </w:style>
  <w:style w:type="paragraph" w:styleId="Kop3">
    <w:name w:val="heading 3"/>
    <w:aliases w:val="Vet + inhoudsopg-niveau 3"/>
    <w:basedOn w:val="Standaard"/>
    <w:next w:val="Standaard"/>
    <w:qFormat/>
    <w:rsid w:val="001C2525"/>
    <w:pPr>
      <w:keepNext/>
      <w:numPr>
        <w:ilvl w:val="2"/>
        <w:numId w:val="6"/>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rsid w:val="001C2525"/>
    <w:pPr>
      <w:tabs>
        <w:tab w:val="center" w:pos="4536"/>
        <w:tab w:val="right" w:pos="9072"/>
      </w:tabs>
    </w:pPr>
  </w:style>
  <w:style w:type="table" w:styleId="Tabelraster">
    <w:name w:val="Table Grid"/>
    <w:basedOn w:val="Standaardtabel"/>
    <w:rsid w:val="00D60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rsid w:val="00D6089C"/>
    <w:pPr>
      <w:spacing w:line="240" w:lineRule="auto"/>
    </w:pPr>
  </w:style>
  <w:style w:type="character" w:customStyle="1" w:styleId="VoetnoottekstChar">
    <w:name w:val="Voetnoottekst Char"/>
    <w:basedOn w:val="Standaardalinea-lettertype"/>
    <w:link w:val="Voetnoottekst"/>
    <w:rsid w:val="00D6089C"/>
    <w:rPr>
      <w:rFonts w:ascii="Arial" w:hAnsi="Arial"/>
    </w:rPr>
  </w:style>
  <w:style w:type="character" w:styleId="Voetnootmarkering">
    <w:name w:val="footnote reference"/>
    <w:basedOn w:val="Standaardalinea-lettertype"/>
    <w:rsid w:val="00D6089C"/>
    <w:rPr>
      <w:vertAlign w:val="superscript"/>
    </w:rPr>
  </w:style>
  <w:style w:type="paragraph" w:styleId="Lijstalinea">
    <w:name w:val="List Paragraph"/>
    <w:basedOn w:val="Standaard"/>
    <w:uiPriority w:val="34"/>
    <w:qFormat/>
    <w:rsid w:val="00C62BBA"/>
    <w:pPr>
      <w:ind w:left="720"/>
      <w:contextualSpacing/>
    </w:pPr>
  </w:style>
  <w:style w:type="character" w:customStyle="1" w:styleId="Kop1Char">
    <w:name w:val="Kop 1 Char"/>
    <w:basedOn w:val="Standaardalinea-lettertype"/>
    <w:link w:val="Kop1"/>
    <w:uiPriority w:val="9"/>
    <w:rsid w:val="00E27D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D1D3-D17B-4C1E-96CC-D76F731E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Westerhout, Mechteld</dc:creator>
  <cp:lastModifiedBy>Wiegers, J</cp:lastModifiedBy>
  <cp:revision>3</cp:revision>
  <dcterms:created xsi:type="dcterms:W3CDTF">2013-12-23T10:38:00Z</dcterms:created>
  <dcterms:modified xsi:type="dcterms:W3CDTF">2014-01-07T08:09:00Z</dcterms:modified>
</cp:coreProperties>
</file>